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86A16">
      <w:pPr>
        <w:pStyle w:val="21"/>
        <w:widowControl/>
        <w:spacing w:line="360" w:lineRule="auto"/>
        <w:ind w:left="0" w:leftChars="0" w:firstLine="0" w:firstLineChars="0"/>
        <w:jc w:val="left"/>
        <w:rPr>
          <w:rFonts w:ascii="Arial" w:hAnsi="宋体" w:cs="Arial"/>
          <w:b/>
          <w:bCs/>
          <w:szCs w:val="21"/>
        </w:rPr>
      </w:pPr>
      <w:r>
        <w:rPr>
          <w:rFonts w:hint="eastAsia" w:ascii="Arial" w:hAnsi="宋体" w:cs="Arial"/>
          <w:b/>
          <w:bCs/>
          <w:szCs w:val="21"/>
        </w:rPr>
        <w:t>附件：</w:t>
      </w:r>
    </w:p>
    <w:p w14:paraId="4D1AC8D3">
      <w:pPr>
        <w:spacing w:line="360" w:lineRule="auto"/>
        <w:jc w:val="center"/>
        <w:outlineLvl w:val="3"/>
        <w:rPr>
          <w:rFonts w:ascii="新宋体" w:hAnsi="新宋体" w:eastAsia="新宋体" w:cs="Times New Roman"/>
          <w:b/>
          <w:sz w:val="22"/>
        </w:rPr>
      </w:pPr>
    </w:p>
    <w:p w14:paraId="4E0F9146">
      <w:pPr>
        <w:spacing w:line="360" w:lineRule="auto"/>
        <w:jc w:val="center"/>
        <w:outlineLvl w:val="3"/>
        <w:rPr>
          <w:rFonts w:ascii="新宋体" w:hAnsi="新宋体" w:eastAsia="新宋体" w:cs="Times New Roman"/>
          <w:b/>
          <w:sz w:val="22"/>
        </w:rPr>
      </w:pPr>
      <w:r>
        <w:rPr>
          <w:rFonts w:hint="eastAsia" w:ascii="新宋体" w:hAnsi="新宋体" w:eastAsia="新宋体" w:cs="Times New Roman"/>
          <w:b/>
          <w:sz w:val="22"/>
        </w:rPr>
        <w:t>法定代表人授权书</w:t>
      </w:r>
    </w:p>
    <w:p w14:paraId="57C8C987">
      <w:pPr>
        <w:spacing w:line="360" w:lineRule="auto"/>
        <w:rPr>
          <w:rFonts w:ascii="新宋体" w:hAnsi="新宋体" w:eastAsia="新宋体" w:cs="Times New Roman"/>
          <w:sz w:val="22"/>
        </w:rPr>
      </w:pPr>
      <w:r>
        <w:rPr>
          <w:rFonts w:hint="eastAsia" w:ascii="新宋体" w:hAnsi="新宋体" w:eastAsia="新宋体" w:cs="Times New Roman"/>
          <w:sz w:val="22"/>
        </w:rPr>
        <w:t>温州市人民医院：</w:t>
      </w:r>
    </w:p>
    <w:p w14:paraId="31564F81">
      <w:pPr>
        <w:spacing w:line="360" w:lineRule="auto"/>
        <w:rPr>
          <w:rFonts w:ascii="新宋体" w:hAnsi="新宋体" w:eastAsia="新宋体" w:cs="Times New Roman"/>
          <w:sz w:val="22"/>
          <w:u w:val="single"/>
        </w:rPr>
      </w:pPr>
    </w:p>
    <w:p w14:paraId="086A0D69">
      <w:pPr>
        <w:spacing w:line="360" w:lineRule="auto"/>
        <w:ind w:firstLine="550" w:firstLineChars="250"/>
        <w:rPr>
          <w:rFonts w:ascii="新宋体" w:hAnsi="新宋体" w:eastAsia="新宋体" w:cs="Times New Roman"/>
          <w:sz w:val="22"/>
        </w:rPr>
      </w:pPr>
      <w:r>
        <w:rPr>
          <w:rFonts w:hint="eastAsia" w:ascii="新宋体" w:hAnsi="新宋体" w:eastAsia="新宋体" w:cs="Times New Roman"/>
          <w:sz w:val="22"/>
          <w:u w:val="single"/>
        </w:rPr>
        <w:t xml:space="preserve">             </w:t>
      </w:r>
      <w:r>
        <w:rPr>
          <w:rFonts w:hint="eastAsia" w:ascii="新宋体" w:hAnsi="新宋体" w:eastAsia="新宋体" w:cs="Times New Roman"/>
          <w:sz w:val="22"/>
        </w:rPr>
        <w:t>（比选申请人全称）法定代表人</w:t>
      </w:r>
      <w:r>
        <w:rPr>
          <w:rFonts w:hint="eastAsia" w:ascii="新宋体" w:hAnsi="新宋体" w:eastAsia="新宋体" w:cs="Times New Roman"/>
          <w:sz w:val="22"/>
          <w:u w:val="single"/>
        </w:rPr>
        <w:t xml:space="preserve">          </w:t>
      </w:r>
      <w:r>
        <w:rPr>
          <w:rFonts w:hint="eastAsia" w:ascii="新宋体" w:hAnsi="新宋体" w:eastAsia="新宋体" w:cs="Times New Roman"/>
          <w:sz w:val="22"/>
        </w:rPr>
        <w:t>授权</w:t>
      </w:r>
      <w:r>
        <w:rPr>
          <w:rFonts w:hint="eastAsia" w:ascii="新宋体" w:hAnsi="新宋体" w:eastAsia="新宋体" w:cs="Times New Roman"/>
          <w:sz w:val="22"/>
          <w:u w:val="single"/>
        </w:rPr>
        <w:t xml:space="preserve">        </w:t>
      </w:r>
      <w:r>
        <w:rPr>
          <w:rFonts w:hint="eastAsia" w:ascii="新宋体" w:hAnsi="新宋体" w:eastAsia="新宋体" w:cs="Times New Roman"/>
          <w:sz w:val="22"/>
        </w:rPr>
        <w:t>（全权代表姓名）为全权代表，参加贵处组织的（</w:t>
      </w:r>
      <w:r>
        <w:rPr>
          <w:rFonts w:hint="eastAsia" w:ascii="新宋体" w:hAnsi="新宋体" w:eastAsia="新宋体" w:cs="Times New Roman"/>
          <w:sz w:val="22"/>
          <w:u w:val="single"/>
        </w:rPr>
        <w:t xml:space="preserve">                    </w:t>
      </w:r>
      <w:r>
        <w:rPr>
          <w:rFonts w:hint="eastAsia" w:ascii="新宋体" w:hAnsi="新宋体" w:eastAsia="新宋体" w:cs="Times New Roman"/>
          <w:sz w:val="22"/>
        </w:rPr>
        <w:t>项目名称）的比选活动，全权代表我方处理比价活动中的一切事宜。</w:t>
      </w:r>
    </w:p>
    <w:p w14:paraId="2C539864">
      <w:pPr>
        <w:spacing w:line="360" w:lineRule="auto"/>
        <w:ind w:firstLine="2955"/>
        <w:rPr>
          <w:rFonts w:ascii="新宋体" w:hAnsi="新宋体" w:eastAsia="新宋体" w:cs="Times New Roman"/>
          <w:sz w:val="22"/>
        </w:rPr>
      </w:pPr>
    </w:p>
    <w:p w14:paraId="2E2FB2F9">
      <w:pPr>
        <w:spacing w:line="360" w:lineRule="auto"/>
        <w:ind w:firstLine="2955"/>
        <w:rPr>
          <w:rFonts w:ascii="新宋体" w:hAnsi="新宋体" w:eastAsia="新宋体" w:cs="Times New Roman"/>
          <w:sz w:val="22"/>
        </w:rPr>
      </w:pPr>
      <w:r>
        <w:rPr>
          <w:rFonts w:hint="eastAsia" w:ascii="新宋体" w:hAnsi="新宋体" w:eastAsia="新宋体" w:cs="Times New Roman"/>
          <w:sz w:val="22"/>
        </w:rPr>
        <w:t xml:space="preserve">          </w:t>
      </w:r>
    </w:p>
    <w:p w14:paraId="1CD48C9C">
      <w:pPr>
        <w:spacing w:line="360" w:lineRule="auto"/>
        <w:ind w:firstLine="4081" w:firstLineChars="1855"/>
        <w:rPr>
          <w:rFonts w:ascii="新宋体" w:hAnsi="新宋体" w:eastAsia="新宋体" w:cs="Times New Roman"/>
          <w:sz w:val="22"/>
        </w:rPr>
      </w:pPr>
      <w:r>
        <w:rPr>
          <w:rFonts w:hint="eastAsia" w:ascii="新宋体" w:hAnsi="新宋体" w:eastAsia="新宋体" w:cs="Times New Roman"/>
          <w:sz w:val="22"/>
        </w:rPr>
        <w:t>法定代表人  (签字或盖章)：</w:t>
      </w:r>
    </w:p>
    <w:p w14:paraId="6BBE72D8">
      <w:pPr>
        <w:spacing w:line="360" w:lineRule="auto"/>
        <w:ind w:firstLine="2955"/>
        <w:rPr>
          <w:rFonts w:ascii="新宋体" w:hAnsi="新宋体" w:eastAsia="新宋体" w:cs="Times New Roman"/>
          <w:sz w:val="22"/>
        </w:rPr>
      </w:pPr>
      <w:r>
        <w:rPr>
          <w:rFonts w:hint="eastAsia" w:ascii="新宋体" w:hAnsi="新宋体" w:eastAsia="新宋体" w:cs="Times New Roman"/>
          <w:sz w:val="22"/>
        </w:rPr>
        <w:t xml:space="preserve">          比选申请人全称（公章）：</w:t>
      </w:r>
    </w:p>
    <w:p w14:paraId="640E75E9">
      <w:pPr>
        <w:spacing w:line="360" w:lineRule="auto"/>
        <w:ind w:firstLine="2955"/>
        <w:rPr>
          <w:rFonts w:ascii="新宋体" w:hAnsi="新宋体" w:eastAsia="新宋体" w:cs="Times New Roman"/>
          <w:sz w:val="22"/>
        </w:rPr>
      </w:pPr>
      <w:r>
        <w:rPr>
          <w:rFonts w:hint="eastAsia" w:ascii="新宋体" w:hAnsi="新宋体" w:eastAsia="新宋体" w:cs="Times New Roman"/>
          <w:sz w:val="22"/>
        </w:rPr>
        <w:t xml:space="preserve">          日   期：  </w:t>
      </w:r>
    </w:p>
    <w:p w14:paraId="596FB733">
      <w:pPr>
        <w:spacing w:line="360" w:lineRule="auto"/>
        <w:ind w:firstLine="541"/>
        <w:rPr>
          <w:rFonts w:ascii="新宋体" w:hAnsi="新宋体" w:eastAsia="新宋体" w:cs="Times New Roman"/>
          <w:b/>
          <w:bCs/>
          <w:sz w:val="22"/>
        </w:rPr>
      </w:pPr>
    </w:p>
    <w:p w14:paraId="6C2B656D">
      <w:pPr>
        <w:widowControl/>
        <w:jc w:val="left"/>
        <w:rPr>
          <w:rFonts w:ascii="新宋体" w:hAnsi="新宋体" w:eastAsia="新宋体" w:cs="Times New Roman"/>
          <w:b/>
          <w:bCs/>
          <w:sz w:val="22"/>
        </w:rPr>
      </w:pPr>
      <w:r>
        <w:rPr>
          <w:rFonts w:ascii="新宋体" w:hAnsi="新宋体" w:eastAsia="新宋体" w:cs="Times New Roman"/>
          <w:b/>
          <w:bCs/>
          <w:sz w:val="22"/>
        </w:rPr>
        <w:br w:type="page"/>
      </w:r>
    </w:p>
    <w:p w14:paraId="79297F08">
      <w:pPr>
        <w:spacing w:line="360" w:lineRule="auto"/>
        <w:ind w:firstLine="541"/>
        <w:rPr>
          <w:rFonts w:ascii="新宋体" w:hAnsi="新宋体" w:eastAsia="新宋体" w:cs="Times New Roman"/>
          <w:b/>
          <w:bCs/>
          <w:sz w:val="22"/>
        </w:rPr>
      </w:pPr>
      <w:r>
        <w:rPr>
          <w:rFonts w:hint="eastAsia" w:ascii="新宋体" w:hAnsi="新宋体" w:eastAsia="新宋体" w:cs="Times New Roman"/>
          <w:b/>
          <w:bCs/>
          <w:sz w:val="22"/>
        </w:rPr>
        <w:t>附：</w:t>
      </w:r>
    </w:p>
    <w:p w14:paraId="349CEA04">
      <w:pPr>
        <w:spacing w:line="360" w:lineRule="auto"/>
        <w:ind w:firstLine="539"/>
        <w:rPr>
          <w:rFonts w:ascii="新宋体" w:hAnsi="新宋体" w:eastAsia="新宋体" w:cs="Times New Roman"/>
          <w:b/>
          <w:bCs/>
          <w:sz w:val="22"/>
        </w:rPr>
      </w:pPr>
      <w:r>
        <w:rPr>
          <w:rFonts w:hint="eastAsia" w:ascii="新宋体" w:hAnsi="新宋体" w:eastAsia="新宋体" w:cs="Times New Roman"/>
          <w:sz w:val="22"/>
        </w:rPr>
        <w:t xml:space="preserve">授权代表姓名：                               </w:t>
      </w:r>
    </w:p>
    <w:p w14:paraId="030784C1">
      <w:pPr>
        <w:spacing w:line="360" w:lineRule="auto"/>
        <w:ind w:firstLine="539"/>
        <w:rPr>
          <w:rFonts w:ascii="新宋体" w:hAnsi="新宋体" w:eastAsia="新宋体" w:cs="Times New Roman"/>
          <w:b/>
          <w:bCs/>
          <w:sz w:val="22"/>
        </w:rPr>
      </w:pPr>
      <w:r>
        <w:rPr>
          <w:rFonts w:hint="eastAsia" w:ascii="新宋体" w:hAnsi="新宋体" w:eastAsia="新宋体" w:cs="Times New Roman"/>
          <w:sz w:val="22"/>
        </w:rPr>
        <w:t>职务：</w:t>
      </w:r>
    </w:p>
    <w:p w14:paraId="1405D073">
      <w:pPr>
        <w:spacing w:line="360" w:lineRule="auto"/>
        <w:ind w:firstLine="539"/>
        <w:rPr>
          <w:rFonts w:ascii="新宋体" w:hAnsi="新宋体" w:eastAsia="新宋体" w:cs="Times New Roman"/>
          <w:b/>
          <w:bCs/>
          <w:sz w:val="22"/>
        </w:rPr>
      </w:pPr>
      <w:r>
        <w:rPr>
          <w:rFonts w:hint="eastAsia" w:ascii="新宋体" w:hAnsi="新宋体" w:eastAsia="新宋体" w:cs="Times New Roman"/>
          <w:sz w:val="22"/>
        </w:rPr>
        <w:t>详细通讯地址：</w:t>
      </w:r>
    </w:p>
    <w:p w14:paraId="63AC65F3">
      <w:pPr>
        <w:spacing w:line="360" w:lineRule="auto"/>
        <w:ind w:firstLine="539"/>
        <w:rPr>
          <w:rFonts w:ascii="新宋体" w:hAnsi="新宋体" w:eastAsia="新宋体" w:cs="Times New Roman"/>
          <w:b/>
          <w:bCs/>
          <w:sz w:val="22"/>
        </w:rPr>
      </w:pPr>
      <w:r>
        <w:rPr>
          <w:rFonts w:hint="eastAsia" w:ascii="新宋体" w:hAnsi="新宋体" w:eastAsia="新宋体" w:cs="Times New Roman"/>
          <w:sz w:val="22"/>
        </w:rPr>
        <w:t>电话：</w:t>
      </w:r>
    </w:p>
    <w:p w14:paraId="4B9E3744">
      <w:pPr>
        <w:spacing w:line="360" w:lineRule="auto"/>
        <w:ind w:firstLine="539"/>
        <w:rPr>
          <w:rFonts w:ascii="新宋体" w:hAnsi="新宋体" w:eastAsia="新宋体" w:cs="Times New Roman"/>
          <w:b/>
          <w:bCs/>
          <w:sz w:val="22"/>
        </w:rPr>
      </w:pPr>
      <w:r>
        <w:rPr>
          <w:rFonts w:hint="eastAsia" w:ascii="新宋体" w:hAnsi="新宋体" w:eastAsia="新宋体" w:cs="Times New Roman"/>
          <w:sz w:val="22"/>
        </w:rPr>
        <w:t>传真：</w:t>
      </w:r>
    </w:p>
    <w:p w14:paraId="6D6FD069">
      <w:pPr>
        <w:spacing w:line="360" w:lineRule="auto"/>
        <w:ind w:firstLine="539"/>
        <w:rPr>
          <w:rFonts w:ascii="新宋体" w:hAnsi="新宋体" w:eastAsia="新宋体" w:cs="Times New Roman"/>
          <w:b/>
          <w:bCs/>
          <w:sz w:val="28"/>
          <w:szCs w:val="28"/>
        </w:rPr>
      </w:pPr>
      <w:r>
        <w:rPr>
          <w:rFonts w:hint="eastAsia" w:ascii="新宋体" w:hAnsi="新宋体" w:eastAsia="新宋体" w:cs="Times New Roman"/>
          <w:sz w:val="22"/>
        </w:rPr>
        <w:t>邮政编码:</w:t>
      </w:r>
    </w:p>
    <w:p w14:paraId="3A8D7C95">
      <w:pPr>
        <w:spacing w:line="360" w:lineRule="auto"/>
        <w:jc w:val="center"/>
        <w:rPr>
          <w:rFonts w:ascii="新宋体" w:hAnsi="新宋体" w:eastAsia="新宋体" w:cs="Times New Roman"/>
          <w:b/>
          <w:bCs/>
          <w:sz w:val="28"/>
          <w:szCs w:val="28"/>
        </w:rPr>
      </w:pPr>
      <w:r>
        <w:rPr>
          <w:rFonts w:hint="eastAsia" w:ascii="新宋体" w:hAnsi="新宋体" w:eastAsia="新宋体" w:cs="Times New Roman"/>
          <w:sz w:val="22"/>
        </w:rPr>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123825</wp:posOffset>
                </wp:positionV>
                <wp:extent cx="5668010" cy="2129790"/>
                <wp:effectExtent l="4445" t="4445" r="23495" b="18415"/>
                <wp:wrapNone/>
                <wp:docPr id="1" name="文本框 1"/>
                <wp:cNvGraphicFramePr/>
                <a:graphic xmlns:a="http://schemas.openxmlformats.org/drawingml/2006/main">
                  <a:graphicData uri="http://schemas.microsoft.com/office/word/2010/wordprocessingShape">
                    <wps:wsp>
                      <wps:cNvSpPr txBox="1"/>
                      <wps:spPr>
                        <a:xfrm>
                          <a:off x="0" y="0"/>
                          <a:ext cx="5668010" cy="21297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261704">
                            <w:pPr>
                              <w:ind w:firstLine="539"/>
                            </w:pPr>
                            <w:r>
                              <w:rPr>
                                <w:rFonts w:hint="eastAsia" w:ascii="新宋体" w:hAnsi="新宋体" w:eastAsia="新宋体"/>
                                <w:sz w:val="22"/>
                              </w:rPr>
                              <w:t xml:space="preserve">  法定代表人身份证（正反面）：</w:t>
                            </w:r>
                          </w:p>
                        </w:txbxContent>
                      </wps:txbx>
                      <wps:bodyPr upright="1"/>
                    </wps:wsp>
                  </a:graphicData>
                </a:graphic>
              </wp:anchor>
            </w:drawing>
          </mc:Choice>
          <mc:Fallback>
            <w:pict>
              <v:shape id="_x0000_s1026" o:spid="_x0000_s1026" o:spt="202" type="#_x0000_t202" style="position:absolute;left:0pt;margin-left:13.1pt;margin-top:9.75pt;height:167.7pt;width:446.3pt;z-index:251659264;mso-width-relative:page;mso-height-relative:page;" fillcolor="#FFFFFF" filled="t" stroked="t" coordsize="21600,21600" o:gfxdata="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BTkOtkAAAAJAQAADwAAAAAAAAABACAA&#10;AAAiAAAAZHJzL2Rvd25yZXYueG1sUEsBAhQAFAAAAAgAh07iQEtgtzsMAgAANwQAAA4AAAAAAAAA&#10;AQAgAAAAKAEAAGRycy9lMm9Eb2MueG1sUEsFBgAAAAAGAAYAWQEAAKYFAAAAAA==&#10;">
                <v:fill on="t" focussize="0,0"/>
                <v:stroke color="#000000" joinstyle="miter"/>
                <v:imagedata o:title=""/>
                <o:lock v:ext="edit" aspectratio="f"/>
                <v:textbox>
                  <w:txbxContent>
                    <w:p w14:paraId="30261704">
                      <w:pPr>
                        <w:ind w:firstLine="539"/>
                      </w:pPr>
                      <w:r>
                        <w:rPr>
                          <w:rFonts w:hint="eastAsia" w:ascii="新宋体" w:hAnsi="新宋体" w:eastAsia="新宋体"/>
                          <w:sz w:val="22"/>
                        </w:rPr>
                        <w:t xml:space="preserve">  法定代表人身份证（正反面）：</w:t>
                      </w:r>
                    </w:p>
                  </w:txbxContent>
                </v:textbox>
              </v:shape>
            </w:pict>
          </mc:Fallback>
        </mc:AlternateContent>
      </w:r>
    </w:p>
    <w:p w14:paraId="3CB2B78F">
      <w:pPr>
        <w:spacing w:line="360" w:lineRule="auto"/>
        <w:jc w:val="center"/>
        <w:rPr>
          <w:rFonts w:ascii="新宋体" w:hAnsi="新宋体" w:eastAsia="新宋体" w:cs="Times New Roman"/>
          <w:b/>
          <w:bCs/>
          <w:sz w:val="28"/>
          <w:szCs w:val="28"/>
        </w:rPr>
      </w:pPr>
    </w:p>
    <w:p w14:paraId="6FD080B7">
      <w:pPr>
        <w:spacing w:line="360" w:lineRule="auto"/>
        <w:jc w:val="center"/>
        <w:rPr>
          <w:rFonts w:ascii="新宋体" w:hAnsi="新宋体" w:eastAsia="新宋体" w:cs="Times New Roman"/>
          <w:b/>
          <w:bCs/>
          <w:sz w:val="28"/>
          <w:szCs w:val="28"/>
        </w:rPr>
      </w:pPr>
    </w:p>
    <w:p w14:paraId="55772242">
      <w:pPr>
        <w:spacing w:line="360" w:lineRule="auto"/>
        <w:jc w:val="center"/>
        <w:rPr>
          <w:rFonts w:ascii="新宋体" w:hAnsi="新宋体" w:eastAsia="新宋体" w:cs="Times New Roman"/>
          <w:b/>
          <w:bCs/>
          <w:sz w:val="28"/>
          <w:szCs w:val="28"/>
        </w:rPr>
      </w:pPr>
    </w:p>
    <w:p w14:paraId="2043F498">
      <w:pPr>
        <w:spacing w:line="360" w:lineRule="auto"/>
        <w:jc w:val="center"/>
        <w:rPr>
          <w:rFonts w:ascii="新宋体" w:hAnsi="新宋体" w:eastAsia="新宋体" w:cs="Times New Roman"/>
          <w:b/>
          <w:bCs/>
          <w:sz w:val="28"/>
          <w:szCs w:val="28"/>
        </w:rPr>
      </w:pPr>
    </w:p>
    <w:p w14:paraId="4ED9C72E">
      <w:pPr>
        <w:spacing w:line="360" w:lineRule="auto"/>
        <w:jc w:val="center"/>
        <w:rPr>
          <w:rFonts w:ascii="新宋体" w:hAnsi="新宋体" w:eastAsia="新宋体" w:cs="Times New Roman"/>
          <w:b/>
          <w:bCs/>
          <w:sz w:val="28"/>
          <w:szCs w:val="28"/>
        </w:rPr>
      </w:pPr>
    </w:p>
    <w:p w14:paraId="1C47872A">
      <w:pPr>
        <w:spacing w:line="360" w:lineRule="auto"/>
        <w:jc w:val="center"/>
        <w:rPr>
          <w:rFonts w:ascii="新宋体" w:hAnsi="新宋体" w:eastAsia="新宋体" w:cs="Times New Roman"/>
          <w:b/>
          <w:bCs/>
          <w:sz w:val="28"/>
          <w:szCs w:val="28"/>
        </w:rPr>
      </w:pPr>
    </w:p>
    <w:p w14:paraId="1ADA9C2C">
      <w:pPr>
        <w:spacing w:line="360" w:lineRule="auto"/>
        <w:jc w:val="center"/>
        <w:rPr>
          <w:rFonts w:ascii="新宋体" w:hAnsi="新宋体" w:eastAsia="新宋体" w:cs="Times New Roman"/>
          <w:b/>
          <w:bCs/>
          <w:sz w:val="28"/>
          <w:szCs w:val="28"/>
        </w:rPr>
      </w:pPr>
      <w:r>
        <w:rPr>
          <w:rFonts w:hint="eastAsia" w:ascii="新宋体" w:hAnsi="新宋体" w:eastAsia="新宋体" w:cs="Times New Roman"/>
          <w:sz w:val="22"/>
        </w:rPr>
        <mc:AlternateContent>
          <mc:Choice Requires="wps">
            <w:drawing>
              <wp:anchor distT="0" distB="0" distL="114300" distR="114300" simplePos="0" relativeHeight="251660288" behindDoc="0" locked="0" layoutInCell="1" allowOverlap="1">
                <wp:simplePos x="0" y="0"/>
                <wp:positionH relativeFrom="column">
                  <wp:posOffset>193675</wp:posOffset>
                </wp:positionH>
                <wp:positionV relativeFrom="paragraph">
                  <wp:posOffset>111760</wp:posOffset>
                </wp:positionV>
                <wp:extent cx="5673090" cy="2279015"/>
                <wp:effectExtent l="4445" t="4445" r="18415" b="21590"/>
                <wp:wrapNone/>
                <wp:docPr id="2" name="文本框 2"/>
                <wp:cNvGraphicFramePr/>
                <a:graphic xmlns:a="http://schemas.openxmlformats.org/drawingml/2006/main">
                  <a:graphicData uri="http://schemas.microsoft.com/office/word/2010/wordprocessingShape">
                    <wps:wsp>
                      <wps:cNvSpPr txBox="1"/>
                      <wps:spPr>
                        <a:xfrm>
                          <a:off x="0" y="0"/>
                          <a:ext cx="5673090" cy="2279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B1686F">
                            <w:pPr>
                              <w:ind w:firstLine="539"/>
                            </w:pPr>
                            <w:r>
                              <w:rPr>
                                <w:rFonts w:hint="eastAsia" w:ascii="新宋体" w:hAnsi="新宋体" w:eastAsia="新宋体"/>
                                <w:sz w:val="22"/>
                              </w:rPr>
                              <w:t xml:space="preserve">  授权代表身份证（正反面）：</w:t>
                            </w:r>
                          </w:p>
                        </w:txbxContent>
                      </wps:txbx>
                      <wps:bodyPr upright="1"/>
                    </wps:wsp>
                  </a:graphicData>
                </a:graphic>
              </wp:anchor>
            </w:drawing>
          </mc:Choice>
          <mc:Fallback>
            <w:pict>
              <v:shape id="_x0000_s1026" o:spid="_x0000_s1026" o:spt="202" type="#_x0000_t202" style="position:absolute;left:0pt;margin-left:15.25pt;margin-top:8.8pt;height:179.45pt;width:446.7pt;z-index:251660288;mso-width-relative:page;mso-height-relative:page;" fillcolor="#FFFFFF" filled="t" stroked="t" coordsize="21600,21600" o:gfxdata="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FBiqLYAAAACQEAAA8AAAAAAAAAAQAgAAAA&#10;IgAAAGRycy9kb3ducmV2LnhtbFBLAQIUABQAAAAIAIdO4kDmqmadCwIAADcEAAAOAAAAAAAAAAEA&#10;IAAAACcBAABkcnMvZTJvRG9jLnhtbFBLBQYAAAAABgAGAFkBAACkBQAAAAA=&#10;">
                <v:fill on="t" focussize="0,0"/>
                <v:stroke color="#000000" joinstyle="miter"/>
                <v:imagedata o:title=""/>
                <o:lock v:ext="edit" aspectratio="f"/>
                <v:textbox>
                  <w:txbxContent>
                    <w:p w14:paraId="7CB1686F">
                      <w:pPr>
                        <w:ind w:firstLine="539"/>
                      </w:pPr>
                      <w:r>
                        <w:rPr>
                          <w:rFonts w:hint="eastAsia" w:ascii="新宋体" w:hAnsi="新宋体" w:eastAsia="新宋体"/>
                          <w:sz w:val="22"/>
                        </w:rPr>
                        <w:t xml:space="preserve">  授权代表身份证（正反面）：</w:t>
                      </w:r>
                    </w:p>
                  </w:txbxContent>
                </v:textbox>
              </v:shape>
            </w:pict>
          </mc:Fallback>
        </mc:AlternateContent>
      </w:r>
    </w:p>
    <w:p w14:paraId="49A43620">
      <w:pPr>
        <w:spacing w:line="360" w:lineRule="auto"/>
        <w:jc w:val="center"/>
        <w:rPr>
          <w:rFonts w:ascii="新宋体" w:hAnsi="新宋体" w:eastAsia="新宋体" w:cs="Times New Roman"/>
          <w:b/>
          <w:bCs/>
          <w:sz w:val="28"/>
          <w:szCs w:val="28"/>
        </w:rPr>
      </w:pPr>
    </w:p>
    <w:p w14:paraId="77E09E3B">
      <w:pPr>
        <w:spacing w:line="360" w:lineRule="auto"/>
        <w:rPr>
          <w:rFonts w:ascii="新宋体" w:hAnsi="新宋体" w:eastAsia="新宋体" w:cs="Times New Roman"/>
          <w:b/>
          <w:bCs/>
          <w:sz w:val="28"/>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851" w:footer="992" w:gutter="0"/>
          <w:cols w:space="720" w:num="1"/>
          <w:titlePg/>
          <w:docGrid w:linePitch="312" w:charSpace="0"/>
        </w:sectPr>
      </w:pPr>
    </w:p>
    <w:p w14:paraId="59F01677">
      <w:pPr>
        <w:spacing w:line="360" w:lineRule="auto"/>
        <w:rPr>
          <w:rFonts w:ascii="Arial" w:hAnsi="宋体" w:cs="Arial"/>
          <w:b/>
          <w:bCs/>
          <w:szCs w:val="21"/>
        </w:rPr>
      </w:pPr>
    </w:p>
    <w:p w14:paraId="6391C435">
      <w:pPr>
        <w:snapToGrid w:val="0"/>
        <w:spacing w:line="360" w:lineRule="auto"/>
        <w:ind w:firstLine="360" w:firstLineChars="100"/>
        <w:jc w:val="center"/>
        <w:rPr>
          <w:rFonts w:ascii="宋体" w:hAnsi="宋体" w:eastAsia="微软雅黑"/>
          <w:b/>
          <w:spacing w:val="-14"/>
          <w:sz w:val="36"/>
          <w:szCs w:val="36"/>
        </w:rPr>
      </w:pPr>
      <w:r>
        <w:rPr>
          <w:rFonts w:hint="eastAsia" w:ascii="微软雅黑" w:hAnsi="微软雅黑" w:eastAsia="微软雅黑"/>
          <w:b/>
          <w:bCs/>
          <w:sz w:val="36"/>
          <w:szCs w:val="36"/>
        </w:rPr>
        <w:t>温州市人民医院共享充电宝合作项目</w:t>
      </w:r>
    </w:p>
    <w:p w14:paraId="68E989EB">
      <w:pPr>
        <w:snapToGrid w:val="0"/>
        <w:spacing w:line="360" w:lineRule="auto"/>
        <w:ind w:firstLine="3938" w:firstLineChars="800"/>
        <w:rPr>
          <w:rFonts w:ascii="宋体" w:hAnsi="宋体"/>
          <w:b/>
          <w:spacing w:val="-14"/>
          <w:sz w:val="52"/>
          <w:szCs w:val="52"/>
        </w:rPr>
      </w:pPr>
      <w:r>
        <w:rPr>
          <w:rFonts w:hint="eastAsia" w:ascii="宋体" w:hAnsi="宋体"/>
          <w:b/>
          <w:spacing w:val="-14"/>
          <w:sz w:val="52"/>
          <w:szCs w:val="52"/>
        </w:rPr>
        <w:t>商</w:t>
      </w:r>
    </w:p>
    <w:p w14:paraId="5DAF83F1">
      <w:pPr>
        <w:snapToGrid w:val="0"/>
        <w:spacing w:line="360" w:lineRule="auto"/>
        <w:ind w:firstLine="3938" w:firstLineChars="800"/>
        <w:rPr>
          <w:rFonts w:ascii="宋体" w:hAnsi="宋体"/>
          <w:b/>
          <w:spacing w:val="-14"/>
          <w:sz w:val="52"/>
          <w:szCs w:val="52"/>
        </w:rPr>
      </w:pPr>
      <w:r>
        <w:rPr>
          <w:rFonts w:hint="eastAsia" w:ascii="宋体" w:hAnsi="宋体"/>
          <w:b/>
          <w:spacing w:val="-14"/>
          <w:sz w:val="52"/>
          <w:szCs w:val="52"/>
        </w:rPr>
        <w:t>务</w:t>
      </w:r>
    </w:p>
    <w:p w14:paraId="31B0F56F">
      <w:pPr>
        <w:snapToGrid w:val="0"/>
        <w:spacing w:line="360" w:lineRule="auto"/>
        <w:ind w:firstLine="3938" w:firstLineChars="800"/>
        <w:rPr>
          <w:rFonts w:ascii="宋体" w:hAnsi="宋体"/>
          <w:b/>
          <w:spacing w:val="-14"/>
          <w:sz w:val="52"/>
          <w:szCs w:val="52"/>
        </w:rPr>
      </w:pPr>
      <w:r>
        <w:rPr>
          <w:rFonts w:hint="eastAsia" w:ascii="宋体" w:hAnsi="宋体"/>
          <w:b/>
          <w:spacing w:val="-14"/>
          <w:sz w:val="52"/>
          <w:szCs w:val="52"/>
        </w:rPr>
        <w:t>报</w:t>
      </w:r>
    </w:p>
    <w:p w14:paraId="5F288532">
      <w:pPr>
        <w:snapToGrid w:val="0"/>
        <w:spacing w:line="360" w:lineRule="auto"/>
        <w:ind w:firstLine="3938" w:firstLineChars="800"/>
        <w:rPr>
          <w:rFonts w:ascii="宋体" w:hAnsi="宋体"/>
          <w:b/>
          <w:spacing w:val="-14"/>
          <w:sz w:val="52"/>
          <w:szCs w:val="52"/>
        </w:rPr>
      </w:pPr>
      <w:r>
        <w:rPr>
          <w:rFonts w:hint="eastAsia" w:ascii="宋体" w:hAnsi="宋体"/>
          <w:b/>
          <w:spacing w:val="-14"/>
          <w:sz w:val="52"/>
          <w:szCs w:val="52"/>
        </w:rPr>
        <w:t>价</w:t>
      </w:r>
    </w:p>
    <w:p w14:paraId="4C6D7593">
      <w:pPr>
        <w:snapToGrid w:val="0"/>
        <w:spacing w:line="360" w:lineRule="auto"/>
        <w:ind w:firstLine="3938" w:firstLineChars="800"/>
        <w:rPr>
          <w:rFonts w:ascii="宋体" w:hAnsi="宋体"/>
          <w:b/>
          <w:spacing w:val="-14"/>
          <w:sz w:val="52"/>
          <w:szCs w:val="52"/>
        </w:rPr>
      </w:pPr>
      <w:r>
        <w:rPr>
          <w:rFonts w:hint="eastAsia" w:ascii="宋体" w:hAnsi="宋体"/>
          <w:b/>
          <w:spacing w:val="-14"/>
          <w:sz w:val="52"/>
          <w:szCs w:val="52"/>
        </w:rPr>
        <w:t>表</w:t>
      </w:r>
    </w:p>
    <w:p w14:paraId="05E8A718">
      <w:pPr>
        <w:snapToGrid w:val="0"/>
        <w:spacing w:line="360" w:lineRule="auto"/>
        <w:ind w:firstLine="1620" w:firstLineChars="450"/>
        <w:rPr>
          <w:rFonts w:ascii="宋体" w:hAnsi="宋体"/>
          <w:spacing w:val="-14"/>
          <w:sz w:val="30"/>
          <w:szCs w:val="30"/>
          <w:u w:val="single"/>
        </w:rPr>
      </w:pPr>
      <w:r>
        <w:rPr>
          <w:rFonts w:hint="eastAsia" w:ascii="宋体" w:hAnsi="宋体"/>
          <w:spacing w:val="30"/>
          <w:sz w:val="30"/>
          <w:szCs w:val="30"/>
        </w:rPr>
        <w:t>招标人:</w:t>
      </w:r>
      <w:r>
        <w:rPr>
          <w:rFonts w:hint="eastAsia" w:ascii="宋体" w:hAnsi="宋体"/>
          <w:spacing w:val="-14"/>
          <w:sz w:val="30"/>
          <w:szCs w:val="30"/>
        </w:rPr>
        <w:t xml:space="preserve"> </w:t>
      </w:r>
      <w:r>
        <w:rPr>
          <w:rFonts w:hint="eastAsia" w:ascii="宋体" w:hAnsi="宋体"/>
          <w:spacing w:val="-14"/>
          <w:sz w:val="30"/>
          <w:szCs w:val="30"/>
          <w:u w:val="single"/>
        </w:rPr>
        <w:t xml:space="preserve">温州市人民医院        </w:t>
      </w:r>
    </w:p>
    <w:p w14:paraId="7EFF495D">
      <w:pPr>
        <w:snapToGrid w:val="0"/>
        <w:spacing w:line="360" w:lineRule="auto"/>
        <w:ind w:firstLine="1632" w:firstLineChars="600"/>
        <w:rPr>
          <w:rFonts w:ascii="宋体" w:hAnsi="宋体"/>
          <w:spacing w:val="-14"/>
          <w:sz w:val="30"/>
          <w:szCs w:val="30"/>
        </w:rPr>
      </w:pPr>
      <w:r>
        <w:rPr>
          <w:rFonts w:hint="eastAsia" w:ascii="宋体" w:hAnsi="宋体"/>
          <w:spacing w:val="-14"/>
          <w:sz w:val="30"/>
          <w:szCs w:val="30"/>
        </w:rPr>
        <w:t>投 标 人：</w:t>
      </w:r>
      <w:r>
        <w:rPr>
          <w:rFonts w:hint="eastAsia" w:ascii="宋体" w:hAnsi="宋体"/>
          <w:spacing w:val="-14"/>
          <w:sz w:val="30"/>
          <w:szCs w:val="30"/>
          <w:u w:val="single"/>
        </w:rPr>
        <w:t xml:space="preserve"> </w:t>
      </w:r>
      <w:r>
        <w:rPr>
          <w:rFonts w:ascii="宋体" w:hAnsi="宋体"/>
          <w:spacing w:val="-14"/>
          <w:sz w:val="30"/>
          <w:szCs w:val="30"/>
          <w:u w:val="single"/>
        </w:rPr>
        <w:t xml:space="preserve">                      </w:t>
      </w:r>
      <w:r>
        <w:rPr>
          <w:rFonts w:hint="eastAsia" w:ascii="宋体" w:hAnsi="宋体"/>
          <w:spacing w:val="-14"/>
          <w:sz w:val="30"/>
          <w:szCs w:val="30"/>
          <w:u w:val="single"/>
        </w:rPr>
        <w:t xml:space="preserve">  </w:t>
      </w:r>
    </w:p>
    <w:p w14:paraId="3686F213">
      <w:pPr>
        <w:snapToGrid w:val="0"/>
        <w:spacing w:line="360" w:lineRule="auto"/>
        <w:ind w:firstLine="1632" w:firstLineChars="600"/>
        <w:rPr>
          <w:rFonts w:ascii="宋体" w:hAnsi="宋体"/>
          <w:spacing w:val="-14"/>
          <w:sz w:val="30"/>
          <w:szCs w:val="30"/>
        </w:rPr>
      </w:pPr>
      <w:r>
        <w:rPr>
          <w:rFonts w:hint="eastAsia" w:ascii="宋体" w:hAnsi="宋体"/>
          <w:spacing w:val="-14"/>
          <w:sz w:val="30"/>
          <w:szCs w:val="30"/>
        </w:rPr>
        <w:t>投标时间：</w:t>
      </w:r>
      <w:r>
        <w:rPr>
          <w:rFonts w:ascii="宋体" w:hAnsi="宋体"/>
          <w:spacing w:val="-14"/>
          <w:sz w:val="30"/>
          <w:szCs w:val="30"/>
          <w:u w:val="single"/>
        </w:rPr>
        <w:t xml:space="preserve">                    </w:t>
      </w:r>
      <w:r>
        <w:rPr>
          <w:rFonts w:hint="eastAsia" w:ascii="宋体" w:hAnsi="宋体"/>
          <w:spacing w:val="-14"/>
          <w:sz w:val="30"/>
          <w:szCs w:val="30"/>
          <w:u w:val="single"/>
        </w:rPr>
        <w:t xml:space="preserve">     </w:t>
      </w:r>
    </w:p>
    <w:p w14:paraId="0106EB02">
      <w:pPr>
        <w:snapToGrid w:val="0"/>
        <w:spacing w:line="360" w:lineRule="auto"/>
        <w:jc w:val="center"/>
        <w:rPr>
          <w:rFonts w:ascii="宋体" w:hAnsi="宋体"/>
          <w:w w:val="80"/>
          <w:sz w:val="30"/>
          <w:szCs w:val="30"/>
        </w:rPr>
      </w:pPr>
    </w:p>
    <w:p w14:paraId="32CFF1F3">
      <w:pPr>
        <w:spacing w:line="360" w:lineRule="auto"/>
        <w:ind w:firstLine="3600" w:firstLineChars="1000"/>
        <w:rPr>
          <w:rFonts w:ascii="宋体" w:hAnsi="宋体"/>
          <w:spacing w:val="40"/>
          <w:sz w:val="28"/>
        </w:rPr>
      </w:pPr>
    </w:p>
    <w:p w14:paraId="3CC50E79">
      <w:pPr>
        <w:spacing w:line="360" w:lineRule="auto"/>
        <w:jc w:val="center"/>
        <w:rPr>
          <w:rFonts w:ascii="宋体" w:hAnsi="宋体"/>
          <w:spacing w:val="40"/>
          <w:sz w:val="28"/>
        </w:rPr>
      </w:pPr>
      <w:r>
        <w:rPr>
          <w:rFonts w:hint="eastAsia" w:ascii="宋体" w:hAnsi="宋体"/>
          <w:spacing w:val="40"/>
          <w:sz w:val="28"/>
        </w:rPr>
        <w:t>日期</w:t>
      </w:r>
      <w:r>
        <w:rPr>
          <w:rFonts w:ascii="宋体" w:hAnsi="宋体"/>
          <w:spacing w:val="40"/>
          <w:sz w:val="28"/>
        </w:rPr>
        <w:t>：</w:t>
      </w:r>
      <w:r>
        <w:rPr>
          <w:rFonts w:hint="eastAsia" w:ascii="宋体" w:hAnsi="宋体"/>
          <w:spacing w:val="40"/>
          <w:sz w:val="28"/>
        </w:rPr>
        <w:t>2026年   月   日</w:t>
      </w:r>
    </w:p>
    <w:p w14:paraId="382C4ED9">
      <w:pPr>
        <w:spacing w:line="360" w:lineRule="auto"/>
        <w:ind w:firstLine="3600" w:firstLineChars="1000"/>
        <w:rPr>
          <w:rFonts w:ascii="宋体" w:hAnsi="宋体"/>
          <w:spacing w:val="40"/>
          <w:sz w:val="28"/>
        </w:rPr>
      </w:pPr>
    </w:p>
    <w:p w14:paraId="25D7E7CC">
      <w:pPr>
        <w:spacing w:line="360" w:lineRule="auto"/>
      </w:pPr>
    </w:p>
    <w:p w14:paraId="71324784">
      <w:pPr>
        <w:pStyle w:val="3"/>
        <w:numPr>
          <w:ilvl w:val="0"/>
          <w:numId w:val="0"/>
        </w:numPr>
        <w:spacing w:line="360" w:lineRule="auto"/>
        <w:jc w:val="center"/>
        <w:rPr>
          <w:rFonts w:ascii="宋体" w:hAnsi="宋体" w:cs="Arial"/>
          <w:bCs/>
          <w:szCs w:val="28"/>
        </w:rPr>
      </w:pPr>
      <w:r>
        <w:rPr>
          <w:rFonts w:hint="eastAsia" w:ascii="宋体" w:hAnsi="宋体" w:cs="Arial"/>
          <w:bCs/>
          <w:szCs w:val="28"/>
        </w:rPr>
        <w:t>开标一览表</w:t>
      </w:r>
    </w:p>
    <w:p w14:paraId="0574A34E">
      <w:pPr>
        <w:pStyle w:val="3"/>
        <w:numPr>
          <w:ilvl w:val="0"/>
          <w:numId w:val="0"/>
        </w:numPr>
        <w:spacing w:line="360" w:lineRule="auto"/>
        <w:rPr>
          <w:rFonts w:ascii="宋体" w:hAnsi="宋体" w:cs="Arial"/>
          <w:bCs/>
          <w:szCs w:val="28"/>
        </w:rPr>
      </w:pPr>
      <w:r>
        <w:rPr>
          <w:rFonts w:hint="eastAsia" w:ascii="宋体" w:hAnsi="宋体" w:cs="Arial"/>
          <w:bCs/>
          <w:szCs w:val="28"/>
        </w:rPr>
        <w:t>商务评分（权值30%）</w:t>
      </w:r>
    </w:p>
    <w:p w14:paraId="3C3CAD29">
      <w:pPr>
        <w:spacing w:line="360" w:lineRule="auto"/>
        <w:rPr>
          <w:rFonts w:ascii="宋体" w:hAnsi="宋体"/>
          <w:sz w:val="24"/>
        </w:rPr>
      </w:pPr>
      <w:r>
        <w:rPr>
          <w:rFonts w:hint="eastAsia" w:ascii="宋体" w:hAnsi="宋体"/>
          <w:sz w:val="24"/>
        </w:rPr>
        <w:t>满足比选文件要求且报价最高的报价为评审基准价，其余比选申请人报价与该基准价对比，计算出商务报价评分值（保留小数2位）：</w:t>
      </w:r>
    </w:p>
    <w:p w14:paraId="40913F1A">
      <w:pPr>
        <w:spacing w:line="360" w:lineRule="auto"/>
        <w:rPr>
          <w:rFonts w:ascii="宋体" w:hAnsi="宋体"/>
          <w:sz w:val="24"/>
        </w:rPr>
      </w:pPr>
      <w:r>
        <w:rPr>
          <w:rFonts w:hint="eastAsia" w:ascii="宋体" w:hAnsi="宋体"/>
          <w:sz w:val="24"/>
        </w:rPr>
        <w:t>1）有效比选申请人的报价等于评审基准价时其报价分为满分30分；</w:t>
      </w:r>
    </w:p>
    <w:p w14:paraId="44BFC7CF">
      <w:pPr>
        <w:spacing w:line="360" w:lineRule="auto"/>
        <w:rPr>
          <w:rFonts w:ascii="宋体" w:hAnsi="宋体"/>
          <w:sz w:val="24"/>
        </w:rPr>
      </w:pPr>
      <w:r>
        <w:rPr>
          <w:rFonts w:hint="eastAsia" w:ascii="宋体" w:hAnsi="宋体"/>
          <w:sz w:val="24"/>
        </w:rPr>
        <w:t>2）其他比选申请人的价格分按以下公式计算：</w:t>
      </w:r>
    </w:p>
    <w:p w14:paraId="2BA26D8A">
      <w:pPr>
        <w:spacing w:line="360" w:lineRule="auto"/>
        <w:rPr>
          <w:rFonts w:ascii="宋体" w:hAnsi="宋体"/>
          <w:sz w:val="24"/>
        </w:rPr>
      </w:pPr>
      <w:r>
        <w:rPr>
          <w:rFonts w:hint="eastAsia" w:ascii="宋体" w:hAnsi="宋体"/>
          <w:sz w:val="24"/>
        </w:rPr>
        <w:t>报价得分=（比选申请人报价/评分基准价）× 价格权值 ×100（保留小数2位）</w:t>
      </w:r>
    </w:p>
    <w:p w14:paraId="56716185">
      <w:pPr>
        <w:pStyle w:val="5"/>
        <w:spacing w:line="360" w:lineRule="auto"/>
      </w:pPr>
    </w:p>
    <w:p w14:paraId="3FE24F4D"/>
    <w:p w14:paraId="02FEB671"/>
    <w:p w14:paraId="179C6445"/>
    <w:p w14:paraId="7BBA43F2"/>
    <w:p w14:paraId="760C2688"/>
    <w:p w14:paraId="08118F2B"/>
    <w:p w14:paraId="6E8B2C18"/>
    <w:p w14:paraId="69EFE41C"/>
    <w:p w14:paraId="0974BC4D"/>
    <w:p w14:paraId="02EFAD06">
      <w:pPr>
        <w:widowControl/>
        <w:jc w:val="left"/>
      </w:pPr>
      <w:r>
        <w:br w:type="page"/>
      </w:r>
    </w:p>
    <w:p w14:paraId="1E75496B">
      <w:pPr>
        <w:spacing w:line="360" w:lineRule="auto"/>
        <w:rPr>
          <w:rFonts w:ascii="宋体" w:hAnsi="宋体"/>
          <w:sz w:val="24"/>
          <w:u w:val="single"/>
        </w:rPr>
      </w:pPr>
      <w:r>
        <w:rPr>
          <w:rFonts w:hint="eastAsia" w:ascii="宋体" w:hAnsi="宋体"/>
          <w:sz w:val="24"/>
        </w:rPr>
        <w:t>项目名称：</w:t>
      </w:r>
      <w:r>
        <w:rPr>
          <w:rFonts w:hint="eastAsia" w:ascii="新宋体" w:hAnsi="新宋体" w:eastAsia="新宋体"/>
          <w:b/>
          <w:bCs/>
          <w:sz w:val="29"/>
          <w:szCs w:val="29"/>
          <w:u w:val="single"/>
        </w:rPr>
        <w:t>温州市人民医院共享充电宝合作项目</w:t>
      </w:r>
      <w:r>
        <w:rPr>
          <w:rFonts w:hint="eastAsia" w:ascii="宋体" w:hAnsi="宋体"/>
          <w:sz w:val="24"/>
          <w:u w:val="single"/>
        </w:rPr>
        <w:t xml:space="preserve"> </w:t>
      </w:r>
    </w:p>
    <w:p w14:paraId="1B7538E7">
      <w:pPr>
        <w:spacing w:line="360" w:lineRule="auto"/>
        <w:rPr>
          <w:rFonts w:ascii="宋体" w:hAnsi="宋体"/>
          <w:sz w:val="24"/>
        </w:rPr>
      </w:pPr>
      <w:r>
        <w:rPr>
          <w:rFonts w:hint="eastAsia" w:ascii="宋体" w:hAnsi="宋体"/>
          <w:sz w:val="24"/>
        </w:rPr>
        <w:t>单位：人民币元</w:t>
      </w:r>
    </w:p>
    <w:tbl>
      <w:tblPr>
        <w:tblStyle w:val="15"/>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292"/>
        <w:gridCol w:w="2277"/>
        <w:gridCol w:w="1998"/>
        <w:gridCol w:w="2313"/>
      </w:tblGrid>
      <w:tr w14:paraId="7DD4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619D68F2">
            <w:pPr>
              <w:spacing w:line="360" w:lineRule="auto"/>
              <w:jc w:val="center"/>
              <w:rPr>
                <w:rFonts w:ascii="宋体" w:hAnsi="宋体"/>
                <w:b/>
                <w:sz w:val="24"/>
              </w:rPr>
            </w:pPr>
            <w:r>
              <w:rPr>
                <w:rFonts w:hint="eastAsia" w:ascii="宋体" w:hAnsi="宋体"/>
                <w:b/>
                <w:sz w:val="24"/>
              </w:rPr>
              <w:t>序号</w:t>
            </w:r>
          </w:p>
        </w:tc>
        <w:tc>
          <w:tcPr>
            <w:tcW w:w="2292" w:type="dxa"/>
            <w:tcBorders>
              <w:top w:val="single" w:color="auto" w:sz="4" w:space="0"/>
              <w:left w:val="single" w:color="auto" w:sz="4" w:space="0"/>
              <w:bottom w:val="single" w:color="auto" w:sz="4" w:space="0"/>
              <w:right w:val="single" w:color="auto" w:sz="4" w:space="0"/>
            </w:tcBorders>
            <w:vAlign w:val="center"/>
          </w:tcPr>
          <w:p w14:paraId="39A4BB79">
            <w:pPr>
              <w:spacing w:line="360" w:lineRule="auto"/>
              <w:jc w:val="center"/>
              <w:rPr>
                <w:rFonts w:ascii="宋体" w:hAnsi="宋体"/>
                <w:b/>
                <w:sz w:val="24"/>
              </w:rPr>
            </w:pPr>
            <w:r>
              <w:rPr>
                <w:rFonts w:hint="eastAsia" w:ascii="宋体" w:hAnsi="宋体"/>
                <w:b/>
                <w:sz w:val="24"/>
              </w:rPr>
              <w:t>商品名称</w:t>
            </w:r>
          </w:p>
        </w:tc>
        <w:tc>
          <w:tcPr>
            <w:tcW w:w="2277" w:type="dxa"/>
            <w:tcBorders>
              <w:top w:val="single" w:color="auto" w:sz="4" w:space="0"/>
              <w:left w:val="single" w:color="auto" w:sz="4" w:space="0"/>
              <w:bottom w:val="single" w:color="auto" w:sz="4" w:space="0"/>
              <w:right w:val="single" w:color="auto" w:sz="4" w:space="0"/>
            </w:tcBorders>
          </w:tcPr>
          <w:p w14:paraId="609E978C">
            <w:pPr>
              <w:spacing w:line="360" w:lineRule="auto"/>
              <w:jc w:val="center"/>
              <w:rPr>
                <w:rFonts w:ascii="宋体" w:hAnsi="宋体"/>
                <w:b/>
                <w:sz w:val="24"/>
              </w:rPr>
            </w:pPr>
          </w:p>
          <w:p w14:paraId="0AAD34B5">
            <w:pPr>
              <w:spacing w:line="360" w:lineRule="auto"/>
              <w:jc w:val="center"/>
              <w:rPr>
                <w:rFonts w:ascii="宋体" w:hAnsi="宋体"/>
                <w:b/>
                <w:sz w:val="24"/>
              </w:rPr>
            </w:pPr>
            <w:r>
              <w:rPr>
                <w:rFonts w:hint="eastAsia" w:ascii="宋体" w:hAnsi="宋体"/>
                <w:b/>
                <w:sz w:val="24"/>
              </w:rPr>
              <w:t>数量</w:t>
            </w:r>
          </w:p>
        </w:tc>
        <w:tc>
          <w:tcPr>
            <w:tcW w:w="1998" w:type="dxa"/>
            <w:tcBorders>
              <w:top w:val="single" w:color="auto" w:sz="4" w:space="0"/>
              <w:left w:val="single" w:color="auto" w:sz="4" w:space="0"/>
              <w:bottom w:val="single" w:color="auto" w:sz="4" w:space="0"/>
              <w:right w:val="single" w:color="auto" w:sz="4" w:space="0"/>
            </w:tcBorders>
            <w:vAlign w:val="center"/>
          </w:tcPr>
          <w:p w14:paraId="0A5C5EAD">
            <w:pPr>
              <w:spacing w:line="360" w:lineRule="auto"/>
              <w:jc w:val="center"/>
              <w:rPr>
                <w:rFonts w:ascii="宋体" w:hAnsi="宋体"/>
                <w:b/>
                <w:sz w:val="24"/>
              </w:rPr>
            </w:pPr>
            <w:r>
              <w:rPr>
                <w:rFonts w:hint="eastAsia" w:ascii="宋体" w:hAnsi="宋体"/>
                <w:b/>
                <w:sz w:val="24"/>
              </w:rPr>
              <w:t>单价</w:t>
            </w:r>
          </w:p>
        </w:tc>
        <w:tc>
          <w:tcPr>
            <w:tcW w:w="2313" w:type="dxa"/>
            <w:tcBorders>
              <w:top w:val="single" w:color="auto" w:sz="4" w:space="0"/>
              <w:left w:val="single" w:color="auto" w:sz="4" w:space="0"/>
              <w:bottom w:val="single" w:color="auto" w:sz="4" w:space="0"/>
              <w:right w:val="single" w:color="auto" w:sz="4" w:space="0"/>
            </w:tcBorders>
            <w:vAlign w:val="center"/>
          </w:tcPr>
          <w:p w14:paraId="09F37F47">
            <w:pPr>
              <w:spacing w:line="360" w:lineRule="auto"/>
              <w:jc w:val="center"/>
              <w:rPr>
                <w:rFonts w:ascii="宋体" w:hAnsi="宋体"/>
                <w:b/>
                <w:sz w:val="24"/>
              </w:rPr>
            </w:pPr>
            <w:r>
              <w:rPr>
                <w:rFonts w:hint="eastAsia" w:ascii="宋体" w:hAnsi="宋体"/>
                <w:b/>
                <w:sz w:val="24"/>
              </w:rPr>
              <w:t>总价</w:t>
            </w:r>
          </w:p>
        </w:tc>
      </w:tr>
      <w:tr w14:paraId="7879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643C628A">
            <w:pPr>
              <w:spacing w:line="360" w:lineRule="auto"/>
              <w:jc w:val="center"/>
              <w:rPr>
                <w:rFonts w:ascii="宋体" w:hAnsi="宋体"/>
                <w:sz w:val="24"/>
              </w:rPr>
            </w:pPr>
            <w:r>
              <w:rPr>
                <w:rFonts w:hint="eastAsia" w:ascii="宋体" w:hAnsi="宋体"/>
                <w:sz w:val="24"/>
              </w:rPr>
              <w:t>1</w:t>
            </w:r>
          </w:p>
        </w:tc>
        <w:tc>
          <w:tcPr>
            <w:tcW w:w="2292" w:type="dxa"/>
            <w:tcBorders>
              <w:top w:val="single" w:color="auto" w:sz="4" w:space="0"/>
              <w:left w:val="single" w:color="auto" w:sz="4" w:space="0"/>
              <w:bottom w:val="single" w:color="auto" w:sz="4" w:space="0"/>
              <w:right w:val="single" w:color="auto" w:sz="4" w:space="0"/>
            </w:tcBorders>
            <w:vAlign w:val="center"/>
          </w:tcPr>
          <w:p w14:paraId="495250EE">
            <w:pPr>
              <w:spacing w:line="360" w:lineRule="auto"/>
              <w:jc w:val="center"/>
              <w:rPr>
                <w:rFonts w:ascii="宋体" w:hAnsi="宋体"/>
                <w:sz w:val="24"/>
              </w:rPr>
            </w:pPr>
          </w:p>
        </w:tc>
        <w:tc>
          <w:tcPr>
            <w:tcW w:w="2277" w:type="dxa"/>
            <w:tcBorders>
              <w:top w:val="single" w:color="auto" w:sz="4" w:space="0"/>
              <w:left w:val="single" w:color="auto" w:sz="4" w:space="0"/>
              <w:bottom w:val="single" w:color="auto" w:sz="4" w:space="0"/>
              <w:right w:val="single" w:color="auto" w:sz="4" w:space="0"/>
            </w:tcBorders>
          </w:tcPr>
          <w:p w14:paraId="3C2BCD18">
            <w:pPr>
              <w:pStyle w:val="21"/>
              <w:snapToGrid w:val="0"/>
              <w:spacing w:line="360" w:lineRule="auto"/>
              <w:ind w:firstLine="0" w:firstLineChars="0"/>
              <w:rPr>
                <w:rFonts w:ascii="宋体" w:hAnsi="宋体"/>
                <w:sz w:val="24"/>
              </w:rPr>
            </w:pPr>
          </w:p>
        </w:tc>
        <w:tc>
          <w:tcPr>
            <w:tcW w:w="1998" w:type="dxa"/>
            <w:tcBorders>
              <w:top w:val="single" w:color="auto" w:sz="4" w:space="0"/>
              <w:left w:val="single" w:color="auto" w:sz="4" w:space="0"/>
              <w:bottom w:val="single" w:color="auto" w:sz="4" w:space="0"/>
              <w:right w:val="single" w:color="auto" w:sz="4" w:space="0"/>
            </w:tcBorders>
            <w:vAlign w:val="center"/>
          </w:tcPr>
          <w:p w14:paraId="2C9CBA62">
            <w:pPr>
              <w:snapToGrid w:val="0"/>
              <w:spacing w:line="360" w:lineRule="auto"/>
              <w:rPr>
                <w:rFonts w:ascii="宋体" w:hAnsi="宋体"/>
                <w:sz w:val="24"/>
              </w:rPr>
            </w:pPr>
            <w:r>
              <w:rPr>
                <w:rFonts w:hint="eastAsia" w:ascii="宋体" w:hAnsi="宋体"/>
                <w:sz w:val="24"/>
              </w:rPr>
              <w:t>大写：</w:t>
            </w:r>
          </w:p>
          <w:p w14:paraId="11A4D8CB">
            <w:pPr>
              <w:snapToGrid w:val="0"/>
              <w:spacing w:line="360" w:lineRule="auto"/>
              <w:rPr>
                <w:rFonts w:ascii="宋体" w:hAnsi="宋体"/>
                <w:sz w:val="24"/>
              </w:rPr>
            </w:pPr>
          </w:p>
          <w:p w14:paraId="4650DB11">
            <w:pPr>
              <w:snapToGrid w:val="0"/>
              <w:spacing w:line="360" w:lineRule="auto"/>
              <w:rPr>
                <w:rFonts w:ascii="宋体" w:hAnsi="宋体"/>
                <w:sz w:val="24"/>
              </w:rPr>
            </w:pPr>
            <w:r>
              <w:rPr>
                <w:rFonts w:hint="eastAsia" w:ascii="宋体" w:hAnsi="宋体"/>
                <w:sz w:val="24"/>
              </w:rPr>
              <w:t>小写：</w:t>
            </w:r>
          </w:p>
        </w:tc>
        <w:tc>
          <w:tcPr>
            <w:tcW w:w="2313" w:type="dxa"/>
            <w:tcBorders>
              <w:top w:val="single" w:color="auto" w:sz="4" w:space="0"/>
              <w:left w:val="single" w:color="auto" w:sz="4" w:space="0"/>
              <w:right w:val="single" w:color="auto" w:sz="4" w:space="0"/>
            </w:tcBorders>
            <w:vAlign w:val="center"/>
          </w:tcPr>
          <w:p w14:paraId="4E9F9451">
            <w:pPr>
              <w:snapToGrid w:val="0"/>
              <w:spacing w:line="360" w:lineRule="auto"/>
              <w:rPr>
                <w:rFonts w:ascii="宋体" w:hAnsi="宋体"/>
                <w:sz w:val="24"/>
              </w:rPr>
            </w:pPr>
            <w:r>
              <w:rPr>
                <w:rFonts w:hint="eastAsia" w:ascii="宋体" w:hAnsi="宋体"/>
                <w:sz w:val="24"/>
              </w:rPr>
              <w:t>大写：</w:t>
            </w:r>
          </w:p>
          <w:p w14:paraId="5EE3A073">
            <w:pPr>
              <w:snapToGrid w:val="0"/>
              <w:spacing w:line="360" w:lineRule="auto"/>
              <w:rPr>
                <w:rFonts w:ascii="宋体" w:hAnsi="宋体"/>
                <w:sz w:val="24"/>
              </w:rPr>
            </w:pPr>
          </w:p>
          <w:p w14:paraId="4A8EE08B">
            <w:pPr>
              <w:snapToGrid w:val="0"/>
              <w:spacing w:line="360" w:lineRule="auto"/>
              <w:rPr>
                <w:rFonts w:ascii="宋体" w:hAnsi="宋体"/>
                <w:sz w:val="24"/>
              </w:rPr>
            </w:pPr>
            <w:r>
              <w:rPr>
                <w:rFonts w:hint="eastAsia" w:ascii="宋体" w:hAnsi="宋体"/>
                <w:sz w:val="24"/>
              </w:rPr>
              <w:t>小写：</w:t>
            </w:r>
          </w:p>
        </w:tc>
      </w:tr>
    </w:tbl>
    <w:p w14:paraId="250DBD2D">
      <w:pPr>
        <w:snapToGrid w:val="0"/>
        <w:spacing w:line="360" w:lineRule="auto"/>
        <w:jc w:val="left"/>
        <w:rPr>
          <w:rFonts w:ascii="宋体" w:hAnsi="宋体"/>
          <w:b/>
          <w:bCs/>
          <w:sz w:val="24"/>
        </w:rPr>
      </w:pPr>
      <w:r>
        <w:rPr>
          <w:rFonts w:hint="eastAsia" w:ascii="宋体" w:hAnsi="宋体"/>
          <w:b/>
          <w:bCs/>
          <w:sz w:val="24"/>
        </w:rPr>
        <w:t xml:space="preserve">注: </w:t>
      </w:r>
    </w:p>
    <w:p w14:paraId="404B6BA4">
      <w:pPr>
        <w:spacing w:line="360" w:lineRule="auto"/>
        <w:jc w:val="left"/>
        <w:rPr>
          <w:rFonts w:ascii="宋体" w:hAnsi="宋体"/>
          <w:sz w:val="24"/>
        </w:rPr>
      </w:pPr>
      <w:r>
        <w:rPr>
          <w:rFonts w:hint="eastAsia" w:ascii="宋体" w:hAnsi="宋体"/>
          <w:sz w:val="24"/>
        </w:rPr>
        <w:t>1.报价一经涂改，应在涂改处加盖单位公章或者由法定代表人或其委托代理人签字或盖章，否则作无效投标处理。</w:t>
      </w:r>
    </w:p>
    <w:p w14:paraId="2A36538B">
      <w:pPr>
        <w:spacing w:line="360" w:lineRule="auto"/>
        <w:jc w:val="left"/>
        <w:rPr>
          <w:rFonts w:ascii="宋体" w:hAnsi="宋体"/>
          <w:sz w:val="24"/>
        </w:rPr>
      </w:pPr>
      <w:r>
        <w:rPr>
          <w:rFonts w:hint="eastAsia" w:ascii="宋体" w:hAnsi="宋体"/>
          <w:sz w:val="24"/>
        </w:rPr>
        <w:t>2．投标报价不得低于预算价及单价控制价，否则作无效投标处理。</w:t>
      </w:r>
    </w:p>
    <w:p w14:paraId="4CF3D24B">
      <w:pPr>
        <w:spacing w:line="360" w:lineRule="auto"/>
        <w:jc w:val="left"/>
        <w:rPr>
          <w:rFonts w:ascii="宋体" w:hAnsi="宋体"/>
          <w:sz w:val="24"/>
        </w:rPr>
      </w:pPr>
    </w:p>
    <w:p w14:paraId="3DAFFE58">
      <w:pPr>
        <w:spacing w:line="360" w:lineRule="auto"/>
        <w:ind w:firstLine="5400" w:firstLineChars="2250"/>
        <w:jc w:val="left"/>
        <w:rPr>
          <w:rFonts w:ascii="宋体" w:hAnsi="宋体"/>
          <w:sz w:val="24"/>
        </w:rPr>
      </w:pPr>
      <w:r>
        <w:rPr>
          <w:rFonts w:hint="eastAsia" w:ascii="宋体" w:hAnsi="宋体"/>
          <w:sz w:val="24"/>
        </w:rPr>
        <w:t>投标人：（盖章）</w:t>
      </w:r>
    </w:p>
    <w:p w14:paraId="0E490946">
      <w:pPr>
        <w:spacing w:line="360" w:lineRule="auto"/>
        <w:ind w:firstLine="3600" w:firstLineChars="1500"/>
        <w:jc w:val="left"/>
        <w:rPr>
          <w:rFonts w:ascii="宋体" w:hAnsi="宋体"/>
          <w:sz w:val="24"/>
        </w:rPr>
      </w:pPr>
      <w:r>
        <w:rPr>
          <w:rFonts w:hint="eastAsia" w:ascii="宋体" w:hAnsi="宋体"/>
          <w:sz w:val="24"/>
        </w:rPr>
        <w:t>法定代表人或其委托代理人：（签字或盖章）</w:t>
      </w:r>
    </w:p>
    <w:p w14:paraId="6919BE60">
      <w:pPr>
        <w:spacing w:line="360" w:lineRule="auto"/>
        <w:ind w:firstLine="5160" w:firstLineChars="2150"/>
        <w:jc w:val="left"/>
      </w:pPr>
      <w:r>
        <w:rPr>
          <w:rFonts w:hint="eastAsia" w:ascii="宋体" w:hAnsi="宋体"/>
          <w:sz w:val="24"/>
        </w:rPr>
        <w:t>日期：   年    月   日</w:t>
      </w:r>
    </w:p>
    <w:p w14:paraId="40313E56">
      <w:pPr>
        <w:widowControl/>
        <w:jc w:val="left"/>
      </w:pPr>
      <w:r>
        <w:br w:type="page"/>
      </w:r>
    </w:p>
    <w:p w14:paraId="2E752B8F">
      <w:pPr>
        <w:snapToGrid w:val="0"/>
        <w:spacing w:line="360" w:lineRule="auto"/>
        <w:ind w:firstLine="360" w:firstLineChars="100"/>
        <w:jc w:val="center"/>
        <w:rPr>
          <w:rFonts w:ascii="微软雅黑" w:hAnsi="微软雅黑" w:eastAsia="微软雅黑"/>
          <w:b/>
          <w:bCs/>
          <w:sz w:val="36"/>
          <w:szCs w:val="36"/>
        </w:rPr>
      </w:pPr>
    </w:p>
    <w:p w14:paraId="1D0D05AD">
      <w:pPr>
        <w:snapToGrid w:val="0"/>
        <w:spacing w:line="360" w:lineRule="auto"/>
        <w:ind w:firstLine="360" w:firstLineChars="100"/>
        <w:jc w:val="center"/>
        <w:rPr>
          <w:rFonts w:ascii="宋体" w:hAnsi="宋体" w:eastAsia="微软雅黑"/>
          <w:b/>
          <w:spacing w:val="-14"/>
          <w:sz w:val="36"/>
          <w:szCs w:val="36"/>
        </w:rPr>
      </w:pPr>
      <w:r>
        <w:rPr>
          <w:rFonts w:hint="eastAsia" w:ascii="微软雅黑" w:hAnsi="微软雅黑" w:eastAsia="微软雅黑"/>
          <w:b/>
          <w:bCs/>
          <w:sz w:val="36"/>
          <w:szCs w:val="36"/>
        </w:rPr>
        <w:t>温州市人民医院共享充电宝合作项目</w:t>
      </w:r>
    </w:p>
    <w:p w14:paraId="116BA666">
      <w:pPr>
        <w:snapToGrid w:val="0"/>
        <w:spacing w:line="360" w:lineRule="auto"/>
        <w:ind w:firstLine="3938" w:firstLineChars="800"/>
        <w:rPr>
          <w:rFonts w:ascii="宋体" w:hAnsi="宋体"/>
          <w:b/>
          <w:spacing w:val="-14"/>
          <w:sz w:val="52"/>
          <w:szCs w:val="52"/>
        </w:rPr>
      </w:pPr>
      <w:r>
        <w:rPr>
          <w:rFonts w:hint="eastAsia" w:ascii="宋体" w:hAnsi="宋体"/>
          <w:b/>
          <w:spacing w:val="-14"/>
          <w:sz w:val="52"/>
          <w:szCs w:val="52"/>
        </w:rPr>
        <w:t>技</w:t>
      </w:r>
    </w:p>
    <w:p w14:paraId="003FA49C">
      <w:pPr>
        <w:snapToGrid w:val="0"/>
        <w:spacing w:line="360" w:lineRule="auto"/>
        <w:ind w:firstLine="3938" w:firstLineChars="800"/>
        <w:rPr>
          <w:rFonts w:ascii="宋体" w:hAnsi="宋体"/>
          <w:b/>
          <w:spacing w:val="-14"/>
          <w:sz w:val="52"/>
          <w:szCs w:val="52"/>
        </w:rPr>
      </w:pPr>
      <w:r>
        <w:rPr>
          <w:rFonts w:hint="eastAsia" w:ascii="宋体" w:hAnsi="宋体"/>
          <w:b/>
          <w:spacing w:val="-14"/>
          <w:sz w:val="52"/>
          <w:szCs w:val="52"/>
        </w:rPr>
        <w:t>术</w:t>
      </w:r>
    </w:p>
    <w:p w14:paraId="76E07E42">
      <w:pPr>
        <w:snapToGrid w:val="0"/>
        <w:spacing w:line="360" w:lineRule="auto"/>
        <w:ind w:firstLine="3938" w:firstLineChars="800"/>
        <w:rPr>
          <w:rFonts w:ascii="宋体" w:hAnsi="宋体"/>
          <w:b/>
          <w:spacing w:val="-14"/>
          <w:sz w:val="52"/>
          <w:szCs w:val="52"/>
        </w:rPr>
      </w:pPr>
      <w:r>
        <w:rPr>
          <w:rFonts w:hint="eastAsia" w:ascii="宋体" w:hAnsi="宋体"/>
          <w:b/>
          <w:spacing w:val="-14"/>
          <w:sz w:val="52"/>
          <w:szCs w:val="52"/>
        </w:rPr>
        <w:t>评</w:t>
      </w:r>
    </w:p>
    <w:p w14:paraId="6D713FA4">
      <w:pPr>
        <w:snapToGrid w:val="0"/>
        <w:spacing w:line="360" w:lineRule="auto"/>
        <w:ind w:firstLine="3938" w:firstLineChars="800"/>
      </w:pPr>
      <w:r>
        <w:rPr>
          <w:rFonts w:hint="eastAsia" w:ascii="宋体" w:hAnsi="宋体"/>
          <w:b/>
          <w:spacing w:val="-14"/>
          <w:sz w:val="52"/>
          <w:szCs w:val="52"/>
        </w:rPr>
        <w:t>定</w:t>
      </w:r>
    </w:p>
    <w:p w14:paraId="3852FB83">
      <w:pPr>
        <w:snapToGrid w:val="0"/>
        <w:spacing w:line="360" w:lineRule="auto"/>
        <w:ind w:firstLine="3938" w:firstLineChars="800"/>
        <w:rPr>
          <w:rFonts w:ascii="宋体" w:hAnsi="宋体"/>
          <w:b/>
          <w:spacing w:val="-14"/>
          <w:sz w:val="52"/>
          <w:szCs w:val="52"/>
        </w:rPr>
      </w:pPr>
      <w:r>
        <w:rPr>
          <w:rFonts w:hint="eastAsia" w:ascii="宋体" w:hAnsi="宋体"/>
          <w:b/>
          <w:spacing w:val="-14"/>
          <w:sz w:val="52"/>
          <w:szCs w:val="52"/>
        </w:rPr>
        <w:t>表</w:t>
      </w:r>
    </w:p>
    <w:p w14:paraId="60D3758A">
      <w:pPr>
        <w:snapToGrid w:val="0"/>
        <w:spacing w:line="360" w:lineRule="auto"/>
        <w:ind w:firstLine="1620" w:firstLineChars="450"/>
        <w:rPr>
          <w:rFonts w:ascii="宋体" w:hAnsi="宋体"/>
          <w:spacing w:val="-14"/>
          <w:sz w:val="30"/>
          <w:szCs w:val="30"/>
          <w:u w:val="single"/>
        </w:rPr>
      </w:pPr>
      <w:r>
        <w:rPr>
          <w:rFonts w:hint="eastAsia" w:ascii="宋体" w:hAnsi="宋体"/>
          <w:spacing w:val="30"/>
          <w:sz w:val="30"/>
          <w:szCs w:val="30"/>
        </w:rPr>
        <w:t>招标人:</w:t>
      </w:r>
      <w:r>
        <w:rPr>
          <w:rFonts w:hint="eastAsia" w:ascii="宋体" w:hAnsi="宋体"/>
          <w:spacing w:val="-14"/>
          <w:sz w:val="30"/>
          <w:szCs w:val="30"/>
        </w:rPr>
        <w:t xml:space="preserve"> </w:t>
      </w:r>
      <w:r>
        <w:rPr>
          <w:rFonts w:hint="eastAsia" w:ascii="宋体" w:hAnsi="宋体"/>
          <w:spacing w:val="-14"/>
          <w:sz w:val="30"/>
          <w:szCs w:val="30"/>
          <w:u w:val="single"/>
        </w:rPr>
        <w:t xml:space="preserve">温州市人民医院        </w:t>
      </w:r>
    </w:p>
    <w:p w14:paraId="515A08B6">
      <w:pPr>
        <w:snapToGrid w:val="0"/>
        <w:spacing w:line="360" w:lineRule="auto"/>
        <w:ind w:firstLine="1632" w:firstLineChars="600"/>
        <w:rPr>
          <w:rFonts w:ascii="宋体" w:hAnsi="宋体"/>
          <w:spacing w:val="-14"/>
          <w:sz w:val="30"/>
          <w:szCs w:val="30"/>
        </w:rPr>
      </w:pPr>
      <w:r>
        <w:rPr>
          <w:rFonts w:hint="eastAsia" w:ascii="宋体" w:hAnsi="宋体"/>
          <w:spacing w:val="-14"/>
          <w:sz w:val="30"/>
          <w:szCs w:val="30"/>
        </w:rPr>
        <w:t>投 标 人：</w:t>
      </w:r>
      <w:r>
        <w:rPr>
          <w:rFonts w:hint="eastAsia" w:ascii="宋体" w:hAnsi="宋体"/>
          <w:spacing w:val="-14"/>
          <w:sz w:val="30"/>
          <w:szCs w:val="30"/>
          <w:u w:val="single"/>
        </w:rPr>
        <w:t xml:space="preserve"> </w:t>
      </w:r>
      <w:r>
        <w:rPr>
          <w:rFonts w:ascii="宋体" w:hAnsi="宋体"/>
          <w:spacing w:val="-14"/>
          <w:sz w:val="30"/>
          <w:szCs w:val="30"/>
          <w:u w:val="single"/>
        </w:rPr>
        <w:t xml:space="preserve">                      </w:t>
      </w:r>
      <w:r>
        <w:rPr>
          <w:rFonts w:hint="eastAsia" w:ascii="宋体" w:hAnsi="宋体"/>
          <w:spacing w:val="-14"/>
          <w:sz w:val="30"/>
          <w:szCs w:val="30"/>
          <w:u w:val="single"/>
        </w:rPr>
        <w:t xml:space="preserve">  </w:t>
      </w:r>
    </w:p>
    <w:p w14:paraId="43C3AE6E">
      <w:pPr>
        <w:snapToGrid w:val="0"/>
        <w:spacing w:line="360" w:lineRule="auto"/>
        <w:ind w:firstLine="1632" w:firstLineChars="600"/>
        <w:rPr>
          <w:rFonts w:ascii="宋体" w:hAnsi="宋体"/>
          <w:spacing w:val="-14"/>
          <w:sz w:val="30"/>
          <w:szCs w:val="30"/>
        </w:rPr>
      </w:pPr>
      <w:r>
        <w:rPr>
          <w:rFonts w:hint="eastAsia" w:ascii="宋体" w:hAnsi="宋体"/>
          <w:spacing w:val="-14"/>
          <w:sz w:val="30"/>
          <w:szCs w:val="30"/>
        </w:rPr>
        <w:t>投标时间：</w:t>
      </w:r>
      <w:r>
        <w:rPr>
          <w:rFonts w:ascii="宋体" w:hAnsi="宋体"/>
          <w:spacing w:val="-14"/>
          <w:sz w:val="30"/>
          <w:szCs w:val="30"/>
          <w:u w:val="single"/>
        </w:rPr>
        <w:t xml:space="preserve">                    </w:t>
      </w:r>
      <w:r>
        <w:rPr>
          <w:rFonts w:hint="eastAsia" w:ascii="宋体" w:hAnsi="宋体"/>
          <w:spacing w:val="-14"/>
          <w:sz w:val="30"/>
          <w:szCs w:val="30"/>
          <w:u w:val="single"/>
        </w:rPr>
        <w:t xml:space="preserve">     </w:t>
      </w:r>
    </w:p>
    <w:p w14:paraId="065699A3">
      <w:pPr>
        <w:snapToGrid w:val="0"/>
        <w:spacing w:line="360" w:lineRule="auto"/>
        <w:jc w:val="center"/>
        <w:rPr>
          <w:rFonts w:ascii="宋体" w:hAnsi="宋体"/>
          <w:w w:val="80"/>
          <w:sz w:val="30"/>
          <w:szCs w:val="30"/>
        </w:rPr>
      </w:pPr>
    </w:p>
    <w:p w14:paraId="2C2B1849">
      <w:pPr>
        <w:spacing w:line="360" w:lineRule="auto"/>
        <w:ind w:firstLine="3600" w:firstLineChars="1000"/>
        <w:rPr>
          <w:rFonts w:ascii="宋体" w:hAnsi="宋体"/>
          <w:spacing w:val="40"/>
          <w:sz w:val="28"/>
        </w:rPr>
      </w:pPr>
    </w:p>
    <w:p w14:paraId="0D893D77">
      <w:pPr>
        <w:spacing w:line="360" w:lineRule="auto"/>
        <w:jc w:val="center"/>
        <w:rPr>
          <w:rFonts w:ascii="宋体" w:hAnsi="宋体"/>
          <w:spacing w:val="40"/>
          <w:sz w:val="28"/>
        </w:rPr>
      </w:pPr>
      <w:r>
        <w:rPr>
          <w:rFonts w:hint="eastAsia" w:ascii="宋体" w:hAnsi="宋体"/>
          <w:spacing w:val="40"/>
          <w:sz w:val="28"/>
        </w:rPr>
        <w:t>日期</w:t>
      </w:r>
      <w:r>
        <w:rPr>
          <w:rFonts w:ascii="宋体" w:hAnsi="宋体"/>
          <w:spacing w:val="40"/>
          <w:sz w:val="28"/>
        </w:rPr>
        <w:t>：</w:t>
      </w:r>
      <w:r>
        <w:rPr>
          <w:rFonts w:hint="eastAsia" w:ascii="宋体" w:hAnsi="宋体"/>
          <w:spacing w:val="40"/>
          <w:sz w:val="28"/>
        </w:rPr>
        <w:t>2026年   月   日</w:t>
      </w:r>
    </w:p>
    <w:p w14:paraId="1450803A">
      <w:pPr>
        <w:widowControl/>
        <w:jc w:val="left"/>
        <w:rPr>
          <w:sz w:val="18"/>
        </w:rPr>
      </w:pPr>
      <w:r>
        <w:br w:type="page"/>
      </w:r>
    </w:p>
    <w:p w14:paraId="1820AB68">
      <w:pPr>
        <w:pStyle w:val="3"/>
        <w:numPr>
          <w:ilvl w:val="0"/>
          <w:numId w:val="0"/>
        </w:numPr>
        <w:spacing w:line="360" w:lineRule="auto"/>
        <w:rPr>
          <w:rFonts w:ascii="宋体" w:hAnsi="宋体" w:cs="Arial"/>
          <w:bCs/>
          <w:szCs w:val="28"/>
        </w:rPr>
      </w:pPr>
      <w:r>
        <w:rPr>
          <w:rFonts w:hint="eastAsia" w:ascii="宋体" w:hAnsi="宋体" w:cs="Arial"/>
          <w:bCs/>
          <w:szCs w:val="28"/>
        </w:rPr>
        <w:t>技术分的评定：技术标70分（权值70%）</w:t>
      </w:r>
    </w:p>
    <w:p w14:paraId="546B1C5D">
      <w:pPr>
        <w:spacing w:line="360" w:lineRule="auto"/>
        <w:ind w:firstLine="480" w:firstLineChars="200"/>
        <w:jc w:val="left"/>
        <w:rPr>
          <w:rFonts w:ascii="宋体" w:hAnsi="宋体"/>
          <w:sz w:val="24"/>
        </w:rPr>
      </w:pPr>
      <w:r>
        <w:rPr>
          <w:rFonts w:hint="eastAsia" w:ascii="宋体" w:hAnsi="宋体"/>
          <w:sz w:val="24"/>
        </w:rPr>
        <w:t>各评委成员按下列评分项目进行评判，每人一张评分计算票，并记名。比选申请文件各项评分内容由比选评审小组成员各自评分，如某张票的一个因素项目超过规定的范围，则该张票无效。各比选评审小组成员对各比选申请人的各项评分内容评分的算术平均值为各比选申请人技术分得分（小数点后按四舍五入保留2位）</w:t>
      </w:r>
    </w:p>
    <w:tbl>
      <w:tblPr>
        <w:tblStyle w:val="1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714"/>
        <w:gridCol w:w="1115"/>
        <w:gridCol w:w="486"/>
        <w:gridCol w:w="4842"/>
        <w:gridCol w:w="926"/>
      </w:tblGrid>
      <w:tr w14:paraId="563F4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56" w:type="pct"/>
            <w:vAlign w:val="center"/>
          </w:tcPr>
          <w:p w14:paraId="0C69C41F">
            <w:pPr>
              <w:adjustRightInd w:val="0"/>
              <w:snapToGrid w:val="0"/>
              <w:spacing w:line="360" w:lineRule="auto"/>
              <w:jc w:val="center"/>
              <w:rPr>
                <w:rFonts w:ascii="宋体" w:hAnsi="宋体" w:eastAsia="宋体" w:cs="宋体"/>
                <w:b/>
                <w:szCs w:val="21"/>
              </w:rPr>
            </w:pPr>
            <w:bookmarkStart w:id="0" w:name="_Hlk55402422"/>
            <w:r>
              <w:rPr>
                <w:rFonts w:hint="eastAsia" w:ascii="宋体" w:hAnsi="宋体" w:eastAsia="宋体" w:cs="宋体"/>
                <w:b/>
                <w:szCs w:val="21"/>
              </w:rPr>
              <w:t>序号</w:t>
            </w:r>
          </w:p>
        </w:tc>
        <w:tc>
          <w:tcPr>
            <w:tcW w:w="419" w:type="pct"/>
            <w:vAlign w:val="center"/>
          </w:tcPr>
          <w:p w14:paraId="65FD3846">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评审项目</w:t>
            </w:r>
          </w:p>
        </w:tc>
        <w:tc>
          <w:tcPr>
            <w:tcW w:w="654" w:type="pct"/>
            <w:vAlign w:val="center"/>
          </w:tcPr>
          <w:p w14:paraId="73627CC4">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评审内容</w:t>
            </w:r>
          </w:p>
        </w:tc>
        <w:tc>
          <w:tcPr>
            <w:tcW w:w="285" w:type="pct"/>
            <w:vAlign w:val="center"/>
          </w:tcPr>
          <w:p w14:paraId="3D7A292D">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分值</w:t>
            </w:r>
          </w:p>
        </w:tc>
        <w:tc>
          <w:tcPr>
            <w:tcW w:w="2840" w:type="pct"/>
            <w:vAlign w:val="center"/>
          </w:tcPr>
          <w:p w14:paraId="6371C4A4">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评审标准</w:t>
            </w:r>
          </w:p>
        </w:tc>
        <w:tc>
          <w:tcPr>
            <w:tcW w:w="543" w:type="pct"/>
            <w:vAlign w:val="center"/>
          </w:tcPr>
          <w:p w14:paraId="2F668C96">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得分</w:t>
            </w:r>
          </w:p>
        </w:tc>
      </w:tr>
      <w:tr w14:paraId="10F40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6" w:type="pct"/>
            <w:vAlign w:val="center"/>
          </w:tcPr>
          <w:p w14:paraId="6E804DEF">
            <w:pPr>
              <w:adjustRightInd w:val="0"/>
              <w:snapToGrid w:val="0"/>
              <w:jc w:val="center"/>
              <w:rPr>
                <w:rFonts w:ascii="宋体" w:hAnsi="宋体" w:eastAsia="宋体" w:cs="宋体"/>
                <w:b/>
                <w:szCs w:val="21"/>
              </w:rPr>
            </w:pPr>
            <w:r>
              <w:rPr>
                <w:rFonts w:hint="eastAsia" w:ascii="宋体" w:hAnsi="宋体" w:eastAsia="宋体" w:cs="宋体"/>
                <w:b/>
                <w:szCs w:val="21"/>
              </w:rPr>
              <w:t>1</w:t>
            </w:r>
          </w:p>
        </w:tc>
        <w:tc>
          <w:tcPr>
            <w:tcW w:w="419" w:type="pct"/>
            <w:vMerge w:val="restart"/>
            <w:vAlign w:val="center"/>
          </w:tcPr>
          <w:p w14:paraId="70B60220">
            <w:pPr>
              <w:adjustRightInd w:val="0"/>
              <w:snapToGrid w:val="0"/>
              <w:jc w:val="center"/>
              <w:rPr>
                <w:rFonts w:hint="eastAsia" w:ascii="宋体" w:hAnsi="宋体" w:eastAsia="宋体" w:cs="宋体"/>
                <w:szCs w:val="21"/>
                <w:lang w:eastAsia="zh-CN"/>
              </w:rPr>
            </w:pPr>
            <w:r>
              <w:rPr>
                <w:rFonts w:hint="eastAsia" w:ascii="宋体" w:hAnsi="宋体" w:eastAsia="宋体" w:cs="宋体"/>
                <w:szCs w:val="21"/>
              </w:rPr>
              <w:t>资质</w:t>
            </w:r>
            <w:r>
              <w:rPr>
                <w:rFonts w:hint="eastAsia" w:ascii="宋体" w:hAnsi="宋体" w:eastAsia="宋体" w:cs="宋体"/>
                <w:szCs w:val="21"/>
                <w:lang w:eastAsia="zh-CN"/>
              </w:rPr>
              <w:t>（</w:t>
            </w:r>
            <w:r>
              <w:rPr>
                <w:rFonts w:hint="eastAsia" w:ascii="宋体" w:hAnsi="宋体" w:eastAsia="宋体" w:cs="宋体"/>
                <w:szCs w:val="21"/>
                <w:lang w:val="en-US" w:eastAsia="zh-CN"/>
              </w:rPr>
              <w:t>12分</w:t>
            </w:r>
            <w:r>
              <w:rPr>
                <w:rFonts w:hint="eastAsia" w:ascii="宋体" w:hAnsi="宋体" w:eastAsia="宋体" w:cs="宋体"/>
                <w:szCs w:val="21"/>
                <w:lang w:eastAsia="zh-CN"/>
              </w:rPr>
              <w:t>）</w:t>
            </w:r>
          </w:p>
        </w:tc>
        <w:tc>
          <w:tcPr>
            <w:tcW w:w="654" w:type="pct"/>
            <w:vAlign w:val="center"/>
          </w:tcPr>
          <w:p w14:paraId="0F8CF286">
            <w:pPr>
              <w:adjustRightInd w:val="0"/>
              <w:snapToGrid w:val="0"/>
              <w:jc w:val="center"/>
              <w:rPr>
                <w:rFonts w:ascii="宋体" w:hAnsi="宋体" w:eastAsia="宋体" w:cs="宋体"/>
                <w:b/>
                <w:szCs w:val="21"/>
              </w:rPr>
            </w:pPr>
            <w:r>
              <w:rPr>
                <w:rFonts w:hint="eastAsia" w:ascii="宋体" w:hAnsi="宋体" w:eastAsia="宋体" w:cs="宋体"/>
                <w:szCs w:val="21"/>
              </w:rPr>
              <w:t>企业资质</w:t>
            </w:r>
          </w:p>
        </w:tc>
        <w:tc>
          <w:tcPr>
            <w:tcW w:w="285" w:type="pct"/>
            <w:vAlign w:val="center"/>
          </w:tcPr>
          <w:p w14:paraId="518D819C">
            <w:pPr>
              <w:adjustRightInd w:val="0"/>
              <w:snapToGrid w:val="0"/>
              <w:jc w:val="center"/>
              <w:rPr>
                <w:rFonts w:ascii="宋体" w:hAnsi="宋体" w:eastAsia="宋体" w:cs="宋体"/>
                <w:b/>
                <w:szCs w:val="21"/>
              </w:rPr>
            </w:pPr>
            <w:r>
              <w:rPr>
                <w:rFonts w:hint="eastAsia" w:ascii="宋体" w:hAnsi="宋体" w:eastAsia="宋体" w:cs="宋体"/>
                <w:szCs w:val="21"/>
              </w:rPr>
              <w:t>2</w:t>
            </w:r>
          </w:p>
        </w:tc>
        <w:tc>
          <w:tcPr>
            <w:tcW w:w="2840" w:type="pct"/>
            <w:vAlign w:val="center"/>
          </w:tcPr>
          <w:p w14:paraId="6120C9AA">
            <w:pPr>
              <w:adjustRightInd w:val="0"/>
              <w:snapToGrid w:val="0"/>
              <w:jc w:val="left"/>
              <w:rPr>
                <w:rFonts w:ascii="宋体" w:hAnsi="宋体" w:eastAsia="宋体" w:cs="宋体"/>
                <w:b/>
                <w:szCs w:val="21"/>
              </w:rPr>
            </w:pPr>
            <w:r>
              <w:rPr>
                <w:rFonts w:hint="eastAsia" w:ascii="宋体" w:hAnsi="宋体" w:eastAsia="宋体" w:cs="宋体"/>
                <w:szCs w:val="21"/>
              </w:rPr>
              <w:t>1、投标人有所投标的品牌代理认证或自产证明，得2分；</w:t>
            </w:r>
          </w:p>
        </w:tc>
        <w:tc>
          <w:tcPr>
            <w:tcW w:w="543" w:type="pct"/>
            <w:vAlign w:val="center"/>
          </w:tcPr>
          <w:p w14:paraId="139AD2E7">
            <w:pPr>
              <w:adjustRightInd w:val="0"/>
              <w:snapToGrid w:val="0"/>
              <w:spacing w:line="360" w:lineRule="auto"/>
              <w:jc w:val="left"/>
              <w:rPr>
                <w:rFonts w:ascii="宋体" w:hAnsi="宋体" w:eastAsia="宋体" w:cs="宋体"/>
                <w:sz w:val="22"/>
              </w:rPr>
            </w:pPr>
          </w:p>
        </w:tc>
      </w:tr>
      <w:tr w14:paraId="5B5BF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6" w:type="pct"/>
            <w:vAlign w:val="center"/>
          </w:tcPr>
          <w:p w14:paraId="38327C05">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419" w:type="pct"/>
            <w:vMerge w:val="continue"/>
            <w:vAlign w:val="center"/>
          </w:tcPr>
          <w:p w14:paraId="5629A2A1">
            <w:pPr>
              <w:adjustRightInd w:val="0"/>
              <w:snapToGrid w:val="0"/>
              <w:jc w:val="center"/>
              <w:rPr>
                <w:rFonts w:ascii="宋体" w:hAnsi="宋体" w:eastAsia="宋体" w:cs="宋体"/>
                <w:szCs w:val="21"/>
              </w:rPr>
            </w:pPr>
          </w:p>
        </w:tc>
        <w:tc>
          <w:tcPr>
            <w:tcW w:w="654" w:type="pct"/>
            <w:vAlign w:val="center"/>
          </w:tcPr>
          <w:p w14:paraId="09E016E7">
            <w:pPr>
              <w:adjustRightInd w:val="0"/>
              <w:snapToGrid w:val="0"/>
              <w:jc w:val="center"/>
              <w:rPr>
                <w:rFonts w:ascii="宋体" w:hAnsi="宋体" w:eastAsia="宋体" w:cs="宋体"/>
                <w:b/>
                <w:szCs w:val="21"/>
              </w:rPr>
            </w:pPr>
            <w:r>
              <w:rPr>
                <w:rFonts w:hint="eastAsia" w:ascii="宋体" w:hAnsi="宋体" w:eastAsia="宋体" w:cs="宋体"/>
                <w:szCs w:val="21"/>
              </w:rPr>
              <w:t>产品资质</w:t>
            </w:r>
          </w:p>
        </w:tc>
        <w:tc>
          <w:tcPr>
            <w:tcW w:w="285" w:type="pct"/>
            <w:vAlign w:val="center"/>
          </w:tcPr>
          <w:p w14:paraId="0BC6FCC2">
            <w:pPr>
              <w:adjustRightInd w:val="0"/>
              <w:snapToGrid w:val="0"/>
              <w:jc w:val="center"/>
              <w:rPr>
                <w:rFonts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4</w:t>
            </w:r>
          </w:p>
        </w:tc>
        <w:tc>
          <w:tcPr>
            <w:tcW w:w="2840" w:type="pct"/>
            <w:vAlign w:val="center"/>
          </w:tcPr>
          <w:p w14:paraId="77B7667B">
            <w:pPr>
              <w:adjustRightInd w:val="0"/>
              <w:snapToGrid w:val="0"/>
              <w:jc w:val="left"/>
              <w:rPr>
                <w:rFonts w:hint="eastAsia" w:ascii="宋体" w:hAnsi="宋体" w:eastAsia="宋体" w:cs="宋体"/>
                <w:szCs w:val="21"/>
              </w:rPr>
            </w:pPr>
            <w:r>
              <w:rPr>
                <w:rFonts w:hint="eastAsia" w:ascii="宋体" w:hAnsi="宋体" w:eastAsia="宋体" w:cs="宋体"/>
                <w:szCs w:val="21"/>
              </w:rPr>
              <w:t>1、提供所投充电柜或充电宝</w:t>
            </w:r>
            <w:r>
              <w:rPr>
                <w:rFonts w:hint="eastAsia" w:ascii="宋体" w:hAnsi="宋体" w:eastAsia="宋体" w:cs="宋体"/>
                <w:szCs w:val="21"/>
                <w:lang w:eastAsia="zh-CN"/>
              </w:rPr>
              <w:t>具有</w:t>
            </w:r>
            <w:r>
              <w:rPr>
                <w:rFonts w:hint="eastAsia" w:ascii="宋体" w:hAnsi="宋体" w:eastAsia="宋体" w:cs="宋体"/>
                <w:szCs w:val="21"/>
              </w:rPr>
              <w:t>CCC中国国家强制性产品认证证书，证书需在有效期内且认证技术标准需符合国家强制标准GB4943.1-2022，GB17625.1-2022；得</w:t>
            </w:r>
            <w:r>
              <w:rPr>
                <w:rFonts w:hint="eastAsia" w:ascii="宋体" w:hAnsi="宋体" w:eastAsia="宋体" w:cs="宋体"/>
                <w:szCs w:val="21"/>
                <w:lang w:val="en-US" w:eastAsia="zh-CN"/>
              </w:rPr>
              <w:t>2</w:t>
            </w:r>
            <w:r>
              <w:rPr>
                <w:rFonts w:hint="eastAsia" w:ascii="宋体" w:hAnsi="宋体" w:eastAsia="宋体" w:cs="宋体"/>
                <w:szCs w:val="21"/>
              </w:rPr>
              <w:t>分。</w:t>
            </w:r>
          </w:p>
          <w:p w14:paraId="59D1E22D">
            <w:pPr>
              <w:adjustRightInd w:val="0"/>
              <w:snapToGrid w:val="0"/>
              <w:jc w:val="left"/>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、提供所投充电柜或无线电发射设备型号核准证得</w:t>
            </w:r>
            <w:r>
              <w:rPr>
                <w:rFonts w:hint="eastAsia" w:ascii="宋体" w:hAnsi="宋体" w:eastAsia="宋体" w:cs="宋体"/>
                <w:szCs w:val="21"/>
                <w:lang w:val="en-US" w:eastAsia="zh-CN"/>
              </w:rPr>
              <w:t>2</w:t>
            </w:r>
            <w:r>
              <w:rPr>
                <w:rFonts w:hint="eastAsia" w:ascii="宋体" w:hAnsi="宋体" w:eastAsia="宋体" w:cs="宋体"/>
                <w:szCs w:val="21"/>
              </w:rPr>
              <w:t>分。</w:t>
            </w:r>
          </w:p>
        </w:tc>
        <w:tc>
          <w:tcPr>
            <w:tcW w:w="543" w:type="pct"/>
            <w:vAlign w:val="center"/>
          </w:tcPr>
          <w:p w14:paraId="300A9E79">
            <w:pPr>
              <w:adjustRightInd w:val="0"/>
              <w:snapToGrid w:val="0"/>
              <w:spacing w:line="360" w:lineRule="auto"/>
              <w:jc w:val="left"/>
              <w:rPr>
                <w:rFonts w:ascii="宋体" w:hAnsi="宋体" w:eastAsia="宋体" w:cs="宋体"/>
                <w:sz w:val="22"/>
              </w:rPr>
            </w:pPr>
          </w:p>
        </w:tc>
      </w:tr>
      <w:tr w14:paraId="00405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56" w:type="pct"/>
            <w:vAlign w:val="center"/>
          </w:tcPr>
          <w:p w14:paraId="3A1575D4">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419" w:type="pct"/>
            <w:vMerge w:val="continue"/>
            <w:vAlign w:val="center"/>
          </w:tcPr>
          <w:p w14:paraId="1E17B9B2">
            <w:pPr>
              <w:adjustRightInd w:val="0"/>
              <w:snapToGrid w:val="0"/>
              <w:jc w:val="center"/>
              <w:rPr>
                <w:rFonts w:ascii="宋体" w:hAnsi="宋体" w:eastAsia="宋体" w:cs="宋体"/>
                <w:szCs w:val="21"/>
              </w:rPr>
            </w:pPr>
          </w:p>
        </w:tc>
        <w:tc>
          <w:tcPr>
            <w:tcW w:w="654" w:type="pct"/>
            <w:vAlign w:val="center"/>
          </w:tcPr>
          <w:p w14:paraId="21F0A43F">
            <w:pPr>
              <w:adjustRightInd w:val="0"/>
              <w:snapToGrid w:val="0"/>
              <w:jc w:val="center"/>
              <w:rPr>
                <w:rFonts w:ascii="宋体" w:hAnsi="宋体" w:eastAsia="宋体" w:cs="宋体"/>
                <w:szCs w:val="21"/>
              </w:rPr>
            </w:pPr>
            <w:r>
              <w:rPr>
                <w:rFonts w:hint="eastAsia" w:ascii="宋体" w:hAnsi="宋体" w:eastAsia="宋体" w:cs="宋体"/>
                <w:szCs w:val="21"/>
              </w:rPr>
              <w:t>同类业绩</w:t>
            </w:r>
          </w:p>
        </w:tc>
        <w:tc>
          <w:tcPr>
            <w:tcW w:w="285" w:type="pct"/>
            <w:vAlign w:val="center"/>
          </w:tcPr>
          <w:p w14:paraId="57EC8022">
            <w:pPr>
              <w:adjustRightInd w:val="0"/>
              <w:snapToGrid w:val="0"/>
              <w:jc w:val="center"/>
              <w:rPr>
                <w:rFonts w:hint="eastAsia" w:ascii="宋体" w:hAnsi="宋体" w:eastAsia="宋体" w:cs="宋体"/>
                <w:szCs w:val="21"/>
              </w:rPr>
            </w:pPr>
            <w:r>
              <w:rPr>
                <w:rFonts w:hint="eastAsia" w:ascii="宋体" w:hAnsi="宋体" w:eastAsia="宋体" w:cs="宋体"/>
                <w:szCs w:val="21"/>
              </w:rPr>
              <w:t>3</w:t>
            </w:r>
          </w:p>
          <w:p w14:paraId="4B9A9527">
            <w:pPr>
              <w:adjustRightInd w:val="0"/>
              <w:snapToGrid w:val="0"/>
              <w:jc w:val="center"/>
              <w:rPr>
                <w:rFonts w:ascii="宋体" w:hAnsi="宋体" w:eastAsia="宋体" w:cs="宋体"/>
                <w:szCs w:val="21"/>
              </w:rPr>
            </w:pPr>
          </w:p>
        </w:tc>
        <w:tc>
          <w:tcPr>
            <w:tcW w:w="2840" w:type="pct"/>
            <w:vAlign w:val="center"/>
          </w:tcPr>
          <w:p w14:paraId="4D9B07F9">
            <w:pPr>
              <w:widowControl/>
              <w:tabs>
                <w:tab w:val="left" w:pos="5220"/>
              </w:tabs>
              <w:adjustRightInd w:val="0"/>
              <w:snapToGrid w:val="0"/>
              <w:textAlignment w:val="baseline"/>
              <w:rPr>
                <w:rFonts w:ascii="宋体" w:hAnsi="宋体" w:eastAsia="宋体" w:cs="宋体"/>
                <w:bCs/>
                <w:szCs w:val="21"/>
              </w:rPr>
            </w:pPr>
            <w:r>
              <w:rPr>
                <w:rFonts w:hint="eastAsia" w:ascii="宋体" w:hAnsi="宋体" w:eastAsia="宋体" w:cs="宋体"/>
                <w:bCs/>
                <w:szCs w:val="21"/>
              </w:rPr>
              <w:t>1、据投标人提供的2022年1月1日以来的温州当地同类业绩项目进行评议。</w:t>
            </w:r>
          </w:p>
          <w:p w14:paraId="245A7086">
            <w:pPr>
              <w:widowControl/>
              <w:tabs>
                <w:tab w:val="left" w:pos="5220"/>
              </w:tabs>
              <w:adjustRightInd w:val="0"/>
              <w:snapToGrid w:val="0"/>
              <w:textAlignment w:val="baseline"/>
              <w:rPr>
                <w:rFonts w:ascii="宋体" w:hAnsi="宋体" w:eastAsia="宋体" w:cs="宋体"/>
                <w:bCs/>
                <w:szCs w:val="21"/>
              </w:rPr>
            </w:pPr>
            <w:r>
              <w:rPr>
                <w:rFonts w:hint="eastAsia" w:ascii="宋体" w:hAnsi="宋体" w:eastAsia="宋体" w:cs="宋体"/>
                <w:bCs/>
                <w:szCs w:val="21"/>
              </w:rPr>
              <w:t>每提供1份业绩证明材料得1分，满分</w:t>
            </w:r>
            <w:r>
              <w:rPr>
                <w:rFonts w:hint="eastAsia" w:ascii="宋体" w:hAnsi="宋体" w:eastAsia="宋体" w:cs="宋体"/>
                <w:bCs/>
                <w:szCs w:val="21"/>
                <w:lang w:val="en-US" w:eastAsia="zh-CN"/>
              </w:rPr>
              <w:t>3</w:t>
            </w:r>
            <w:r>
              <w:rPr>
                <w:rFonts w:hint="eastAsia" w:ascii="宋体" w:hAnsi="宋体" w:eastAsia="宋体" w:cs="宋体"/>
                <w:bCs/>
                <w:szCs w:val="21"/>
              </w:rPr>
              <w:t>分。</w:t>
            </w:r>
          </w:p>
          <w:p w14:paraId="2E8B0E72">
            <w:pPr>
              <w:widowControl/>
              <w:tabs>
                <w:tab w:val="left" w:pos="5220"/>
              </w:tabs>
              <w:adjustRightInd w:val="0"/>
              <w:snapToGrid w:val="0"/>
              <w:textAlignment w:val="baseline"/>
              <w:rPr>
                <w:rFonts w:ascii="宋体" w:hAnsi="宋体" w:eastAsia="宋体" w:cs="宋体"/>
                <w:bCs/>
                <w:szCs w:val="21"/>
              </w:rPr>
            </w:pPr>
            <w:r>
              <w:rPr>
                <w:rFonts w:hint="eastAsia" w:ascii="宋体" w:hAnsi="宋体" w:eastAsia="宋体" w:cs="宋体"/>
                <w:b/>
                <w:szCs w:val="21"/>
              </w:rPr>
              <w:t>注：响应文件中需提供合同复印件并加盖公章，否则不得分</w:t>
            </w:r>
          </w:p>
        </w:tc>
        <w:tc>
          <w:tcPr>
            <w:tcW w:w="543" w:type="pct"/>
            <w:vAlign w:val="center"/>
          </w:tcPr>
          <w:p w14:paraId="3EBFA30D">
            <w:pPr>
              <w:adjustRightInd w:val="0"/>
              <w:snapToGrid w:val="0"/>
              <w:spacing w:line="360" w:lineRule="auto"/>
              <w:rPr>
                <w:rFonts w:ascii="宋体" w:hAnsi="宋体" w:eastAsia="宋体" w:cs="宋体"/>
                <w:sz w:val="22"/>
              </w:rPr>
            </w:pPr>
          </w:p>
        </w:tc>
      </w:tr>
      <w:tr w14:paraId="1E774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6" w:type="pct"/>
            <w:vAlign w:val="center"/>
          </w:tcPr>
          <w:p w14:paraId="013C7018">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419" w:type="pct"/>
            <w:vMerge w:val="continue"/>
            <w:vAlign w:val="center"/>
          </w:tcPr>
          <w:p w14:paraId="1A39227C">
            <w:pPr>
              <w:adjustRightInd w:val="0"/>
              <w:snapToGrid w:val="0"/>
              <w:jc w:val="center"/>
              <w:rPr>
                <w:rFonts w:ascii="宋体" w:hAnsi="宋体" w:eastAsia="宋体" w:cs="宋体"/>
                <w:szCs w:val="21"/>
              </w:rPr>
            </w:pPr>
          </w:p>
        </w:tc>
        <w:tc>
          <w:tcPr>
            <w:tcW w:w="654" w:type="pct"/>
            <w:vAlign w:val="center"/>
          </w:tcPr>
          <w:p w14:paraId="0F7F9B17">
            <w:pPr>
              <w:adjustRightInd w:val="0"/>
              <w:snapToGrid w:val="0"/>
              <w:jc w:val="center"/>
              <w:rPr>
                <w:rFonts w:ascii="宋体" w:hAnsi="宋体" w:eastAsia="宋体" w:cs="宋体"/>
                <w:szCs w:val="21"/>
              </w:rPr>
            </w:pPr>
            <w:r>
              <w:rPr>
                <w:rFonts w:hint="eastAsia" w:ascii="宋体" w:hAnsi="宋体" w:eastAsia="宋体" w:cs="宋体"/>
                <w:szCs w:val="21"/>
              </w:rPr>
              <w:t>品牌覆盖</w:t>
            </w:r>
          </w:p>
        </w:tc>
        <w:tc>
          <w:tcPr>
            <w:tcW w:w="285" w:type="pct"/>
            <w:vAlign w:val="center"/>
          </w:tcPr>
          <w:p w14:paraId="49949EF1">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2840" w:type="pct"/>
            <w:vAlign w:val="center"/>
          </w:tcPr>
          <w:p w14:paraId="6D6C6B56">
            <w:pPr>
              <w:widowControl/>
              <w:tabs>
                <w:tab w:val="left" w:pos="5220"/>
              </w:tabs>
              <w:adjustRightInd w:val="0"/>
              <w:snapToGrid w:val="0"/>
              <w:textAlignment w:val="baseline"/>
              <w:rPr>
                <w:rFonts w:ascii="宋体" w:hAnsi="宋体" w:eastAsia="宋体" w:cs="宋体"/>
                <w:szCs w:val="21"/>
              </w:rPr>
            </w:pPr>
            <w:r>
              <w:rPr>
                <w:rFonts w:hint="eastAsia" w:ascii="宋体" w:hAnsi="宋体" w:eastAsia="宋体" w:cs="宋体"/>
                <w:bCs/>
                <w:szCs w:val="21"/>
              </w:rPr>
              <w:t>1、投标人提供所投标的品牌在温州市场使用率，如数量、点位、重要场所等情况横向打分，0-3分。</w:t>
            </w:r>
          </w:p>
        </w:tc>
        <w:tc>
          <w:tcPr>
            <w:tcW w:w="543" w:type="pct"/>
            <w:vAlign w:val="center"/>
          </w:tcPr>
          <w:p w14:paraId="5690E163">
            <w:pPr>
              <w:adjustRightInd w:val="0"/>
              <w:snapToGrid w:val="0"/>
              <w:spacing w:line="360" w:lineRule="auto"/>
              <w:rPr>
                <w:rFonts w:ascii="宋体" w:hAnsi="宋体" w:eastAsia="宋体" w:cs="宋体"/>
                <w:sz w:val="22"/>
              </w:rPr>
            </w:pPr>
          </w:p>
        </w:tc>
      </w:tr>
      <w:tr w14:paraId="62D0A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256" w:type="pct"/>
            <w:vAlign w:val="center"/>
          </w:tcPr>
          <w:p w14:paraId="036D92D5">
            <w:pPr>
              <w:adjustRightInd w:val="0"/>
              <w:snapToGrid w:val="0"/>
              <w:jc w:val="center"/>
              <w:rPr>
                <w:rFonts w:ascii="宋体" w:hAnsi="宋体" w:eastAsia="宋体" w:cs="宋体"/>
                <w:szCs w:val="21"/>
              </w:rPr>
            </w:pPr>
            <w:r>
              <w:rPr>
                <w:rFonts w:hint="eastAsia" w:ascii="宋体" w:hAnsi="宋体" w:eastAsia="宋体" w:cs="宋体"/>
                <w:szCs w:val="21"/>
              </w:rPr>
              <w:t>5</w:t>
            </w:r>
          </w:p>
        </w:tc>
        <w:tc>
          <w:tcPr>
            <w:tcW w:w="419" w:type="pct"/>
            <w:vMerge w:val="restart"/>
            <w:vAlign w:val="center"/>
          </w:tcPr>
          <w:p w14:paraId="158C9870">
            <w:pPr>
              <w:adjustRightInd w:val="0"/>
              <w:snapToGrid w:val="0"/>
              <w:jc w:val="center"/>
              <w:rPr>
                <w:rFonts w:hint="eastAsia" w:ascii="宋体" w:hAnsi="宋体" w:eastAsia="宋体" w:cs="宋体"/>
                <w:szCs w:val="21"/>
                <w:lang w:eastAsia="zh-CN"/>
              </w:rPr>
            </w:pPr>
            <w:r>
              <w:rPr>
                <w:rFonts w:hint="eastAsia" w:ascii="宋体" w:hAnsi="宋体" w:eastAsia="宋体" w:cs="宋体"/>
                <w:szCs w:val="21"/>
              </w:rPr>
              <w:t>安全</w:t>
            </w:r>
            <w:r>
              <w:rPr>
                <w:rFonts w:hint="eastAsia" w:ascii="宋体" w:hAnsi="宋体" w:eastAsia="宋体" w:cs="宋体"/>
                <w:szCs w:val="21"/>
                <w:lang w:eastAsia="zh-CN"/>
              </w:rPr>
              <w:t>（</w:t>
            </w:r>
            <w:r>
              <w:rPr>
                <w:rFonts w:hint="eastAsia" w:ascii="宋体" w:hAnsi="宋体" w:eastAsia="宋体" w:cs="宋体"/>
                <w:szCs w:val="21"/>
                <w:lang w:val="en-US" w:eastAsia="zh-CN"/>
              </w:rPr>
              <w:t>26分</w:t>
            </w:r>
            <w:r>
              <w:rPr>
                <w:rFonts w:hint="eastAsia" w:ascii="宋体" w:hAnsi="宋体" w:eastAsia="宋体" w:cs="宋体"/>
                <w:szCs w:val="21"/>
                <w:lang w:eastAsia="zh-CN"/>
              </w:rPr>
              <w:t>）</w:t>
            </w:r>
          </w:p>
        </w:tc>
        <w:tc>
          <w:tcPr>
            <w:tcW w:w="654" w:type="pct"/>
            <w:vAlign w:val="center"/>
          </w:tcPr>
          <w:p w14:paraId="36CDA5A9">
            <w:pPr>
              <w:adjustRightInd w:val="0"/>
              <w:snapToGrid w:val="0"/>
              <w:jc w:val="center"/>
              <w:rPr>
                <w:rFonts w:ascii="宋体" w:hAnsi="宋体" w:eastAsia="宋体" w:cs="宋体"/>
                <w:szCs w:val="21"/>
              </w:rPr>
            </w:pPr>
            <w:r>
              <w:rPr>
                <w:rFonts w:hint="eastAsia" w:ascii="宋体" w:hAnsi="宋体" w:eastAsia="宋体" w:cs="宋体"/>
                <w:szCs w:val="21"/>
              </w:rPr>
              <w:t>产品安全</w:t>
            </w:r>
          </w:p>
        </w:tc>
        <w:tc>
          <w:tcPr>
            <w:tcW w:w="285" w:type="pct"/>
            <w:vAlign w:val="center"/>
          </w:tcPr>
          <w:p w14:paraId="09BF6079">
            <w:pPr>
              <w:widowControl/>
              <w:tabs>
                <w:tab w:val="left" w:pos="5220"/>
              </w:tabs>
              <w:adjustRightInd w:val="0"/>
              <w:snapToGrid w:val="0"/>
              <w:textAlignment w:val="baseline"/>
              <w:rPr>
                <w:rFonts w:ascii="宋体" w:hAnsi="宋体" w:eastAsia="宋体" w:cs="宋体"/>
                <w:bCs/>
                <w:szCs w:val="21"/>
              </w:rPr>
            </w:pPr>
            <w:r>
              <w:rPr>
                <w:rFonts w:hint="eastAsia" w:ascii="宋体" w:hAnsi="宋体" w:eastAsia="宋体" w:cs="宋体"/>
                <w:bCs/>
                <w:szCs w:val="21"/>
              </w:rPr>
              <w:t>14</w:t>
            </w:r>
          </w:p>
        </w:tc>
        <w:tc>
          <w:tcPr>
            <w:tcW w:w="2840" w:type="pct"/>
            <w:vAlign w:val="center"/>
          </w:tcPr>
          <w:p w14:paraId="384DC27E">
            <w:pPr>
              <w:widowControl/>
              <w:tabs>
                <w:tab w:val="left" w:pos="5220"/>
              </w:tabs>
              <w:adjustRightInd w:val="0"/>
              <w:snapToGrid w:val="0"/>
              <w:textAlignment w:val="baseline"/>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1、投标人提供产品情况说明：包括充电宝功率、容量，充电宝接口支持情况、充电宝设备的安全性能及质量稳定性说明综合评定，分值在</w:t>
            </w:r>
            <w:r>
              <w:rPr>
                <w:rFonts w:ascii="宋体" w:hAnsi="宋体" w:eastAsia="宋体" w:cs="宋体"/>
                <w:bCs/>
                <w:color w:val="000000" w:themeColor="text1"/>
                <w:szCs w:val="21"/>
                <w:highlight w:val="none"/>
                <w14:textFill>
                  <w14:solidFill>
                    <w14:schemeClr w14:val="tx1"/>
                  </w14:solidFill>
                </w14:textFill>
              </w:rPr>
              <w:t>0-</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ascii="宋体" w:hAnsi="宋体" w:eastAsia="宋体" w:cs="宋体"/>
                <w:bCs/>
                <w:color w:val="000000" w:themeColor="text1"/>
                <w:szCs w:val="21"/>
                <w:highlight w:val="none"/>
                <w14:textFill>
                  <w14:solidFill>
                    <w14:schemeClr w14:val="tx1"/>
                  </w14:solidFill>
                </w14:textFill>
              </w:rPr>
              <w:t>分</w:t>
            </w:r>
            <w:r>
              <w:rPr>
                <w:rFonts w:hint="eastAsia" w:ascii="宋体" w:hAnsi="宋体" w:eastAsia="宋体" w:cs="宋体"/>
                <w:bCs/>
                <w:color w:val="000000" w:themeColor="text1"/>
                <w:szCs w:val="21"/>
                <w:highlight w:val="none"/>
                <w14:textFill>
                  <w14:solidFill>
                    <w14:schemeClr w14:val="tx1"/>
                  </w14:solidFill>
                </w14:textFill>
              </w:rPr>
              <w:t>。</w:t>
            </w:r>
          </w:p>
          <w:p w14:paraId="2B40358F">
            <w:pPr>
              <w:widowControl/>
              <w:tabs>
                <w:tab w:val="left" w:pos="5220"/>
              </w:tabs>
              <w:adjustRightInd w:val="0"/>
              <w:snapToGrid w:val="0"/>
              <w:textAlignment w:val="baseline"/>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2、提供所投充电柜</w:t>
            </w:r>
            <w:r>
              <w:rPr>
                <w:rFonts w:ascii="宋体" w:hAnsi="宋体" w:eastAsia="宋体" w:cs="宋体"/>
                <w:bCs/>
                <w:color w:val="000000" w:themeColor="text1"/>
                <w:szCs w:val="21"/>
                <w:highlight w:val="none"/>
                <w14:textFill>
                  <w14:solidFill>
                    <w14:schemeClr w14:val="tx1"/>
                  </w14:solidFill>
                </w14:textFill>
              </w:rPr>
              <w:t>外壳、内置树胶件防火检测报告得</w:t>
            </w:r>
            <w:r>
              <w:rPr>
                <w:rFonts w:hint="eastAsia" w:ascii="宋体" w:hAnsi="宋体" w:eastAsia="宋体" w:cs="宋体"/>
                <w:bCs/>
                <w:color w:val="000000" w:themeColor="text1"/>
                <w:szCs w:val="21"/>
                <w:highlight w:val="none"/>
                <w14:textFill>
                  <w14:solidFill>
                    <w14:schemeClr w14:val="tx1"/>
                  </w14:solidFill>
                </w14:textFill>
              </w:rPr>
              <w:t>1分；提供所投充电宝防外壳火检测报告得1分；此项满分</w:t>
            </w:r>
            <w:r>
              <w:rPr>
                <w:rFonts w:hint="eastAsia" w:ascii="宋体" w:hAnsi="宋体" w:eastAsia="宋体" w:cs="宋体"/>
                <w:bCs/>
                <w:color w:val="000000" w:themeColor="text1"/>
                <w:szCs w:val="21"/>
                <w:highlight w:val="none"/>
                <w:lang w:val="en-US" w:eastAsia="zh-CN"/>
                <w14:textFill>
                  <w14:solidFill>
                    <w14:schemeClr w14:val="tx1"/>
                  </w14:solidFill>
                </w14:textFill>
              </w:rPr>
              <w:t>2</w:t>
            </w:r>
            <w:r>
              <w:rPr>
                <w:rFonts w:hint="eastAsia" w:ascii="宋体" w:hAnsi="宋体" w:eastAsia="宋体" w:cs="宋体"/>
                <w:bCs/>
                <w:color w:val="000000" w:themeColor="text1"/>
                <w:szCs w:val="21"/>
                <w:highlight w:val="none"/>
                <w14:textFill>
                  <w14:solidFill>
                    <w14:schemeClr w14:val="tx1"/>
                  </w14:solidFill>
                </w14:textFill>
              </w:rPr>
              <w:t>分。</w:t>
            </w:r>
          </w:p>
          <w:p w14:paraId="769B3CFD">
            <w:pPr>
              <w:widowControl/>
              <w:tabs>
                <w:tab w:val="left" w:pos="5220"/>
              </w:tabs>
              <w:adjustRightInd w:val="0"/>
              <w:snapToGrid w:val="0"/>
              <w:textAlignment w:val="baseline"/>
              <w:rPr>
                <w:rFonts w:hint="eastAsia" w:ascii="宋体" w:hAnsi="宋体" w:eastAsia="宋体" w:cs="宋体"/>
                <w:bCs/>
                <w:szCs w:val="21"/>
                <w:highlight w:val="none"/>
              </w:rPr>
            </w:pPr>
            <w:r>
              <w:rPr>
                <w:rFonts w:hint="eastAsia" w:ascii="宋体" w:hAnsi="宋体" w:eastAsia="宋体" w:cs="宋体"/>
                <w:bCs/>
                <w:szCs w:val="21"/>
                <w:highlight w:val="none"/>
              </w:rPr>
              <w:t>3、产品责任险保单：100w≤每次事故赔偿限额≤500w的得1分；500w＜每次事故赔偿限额≤1000w的得1分；1000w＜每次事故赔偿限额的得3分。</w:t>
            </w:r>
          </w:p>
          <w:p w14:paraId="07E10BF0">
            <w:pPr>
              <w:widowControl/>
              <w:tabs>
                <w:tab w:val="left" w:pos="5220"/>
              </w:tabs>
              <w:adjustRightInd w:val="0"/>
              <w:snapToGrid w:val="0"/>
              <w:textAlignment w:val="baseline"/>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4、所投充电宝航空运输危险性鉴定报告得</w:t>
            </w:r>
            <w:r>
              <w:rPr>
                <w:rFonts w:hint="eastAsia" w:ascii="宋体" w:hAnsi="宋体" w:eastAsia="宋体" w:cs="宋体"/>
                <w:bCs/>
                <w:color w:val="000000" w:themeColor="text1"/>
                <w:szCs w:val="21"/>
                <w:highlight w:val="none"/>
                <w:lang w:val="en-US" w:eastAsia="zh-CN"/>
                <w14:textFill>
                  <w14:solidFill>
                    <w14:schemeClr w14:val="tx1"/>
                  </w14:solidFill>
                </w14:textFill>
              </w:rPr>
              <w:t>2</w:t>
            </w:r>
            <w:r>
              <w:rPr>
                <w:rFonts w:hint="eastAsia" w:ascii="宋体" w:hAnsi="宋体" w:eastAsia="宋体" w:cs="宋体"/>
                <w:bCs/>
                <w:color w:val="000000" w:themeColor="text1"/>
                <w:szCs w:val="21"/>
                <w:highlight w:val="none"/>
                <w14:textFill>
                  <w14:solidFill>
                    <w14:schemeClr w14:val="tx1"/>
                  </w14:solidFill>
                </w14:textFill>
              </w:rPr>
              <w:t>分。</w:t>
            </w:r>
          </w:p>
          <w:p w14:paraId="2EC1FF15">
            <w:pPr>
              <w:widowControl/>
              <w:tabs>
                <w:tab w:val="left" w:pos="5220"/>
              </w:tabs>
              <w:adjustRightInd w:val="0"/>
              <w:snapToGrid w:val="0"/>
              <w:textAlignment w:val="baseline"/>
              <w:rPr>
                <w:rFonts w:ascii="宋体" w:hAnsi="宋体" w:eastAsia="宋体" w:cs="宋体"/>
                <w:bCs/>
                <w:szCs w:val="21"/>
              </w:rPr>
            </w:pPr>
            <w:r>
              <w:rPr>
                <w:rFonts w:hint="eastAsia" w:ascii="宋体" w:hAnsi="宋体" w:eastAsia="宋体" w:cs="宋体"/>
                <w:bCs/>
                <w:szCs w:val="21"/>
                <w:highlight w:val="none"/>
              </w:rPr>
              <w:t>5、完整</w:t>
            </w:r>
            <w:r>
              <w:rPr>
                <w:rFonts w:hint="eastAsia" w:ascii="宋体" w:hAnsi="宋体" w:eastAsia="宋体" w:cs="宋体"/>
                <w:bCs/>
                <w:color w:val="000000" w:themeColor="text1"/>
                <w:szCs w:val="21"/>
                <w:highlight w:val="none"/>
                <w14:textFill>
                  <w14:solidFill>
                    <w14:schemeClr w14:val="tx1"/>
                  </w14:solidFill>
                </w14:textFill>
              </w:rPr>
              <w:t>提供所投充电柜</w:t>
            </w:r>
            <w:r>
              <w:rPr>
                <w:rFonts w:hint="eastAsia" w:ascii="宋体" w:hAnsi="宋体" w:eastAsia="宋体" w:cs="宋体"/>
                <w:bCs/>
                <w:szCs w:val="21"/>
                <w:highlight w:val="none"/>
              </w:rPr>
              <w:t>国家强制性产品认证试验报告（含安全测试报告）得</w:t>
            </w: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rPr>
              <w:t>分；完整</w:t>
            </w:r>
            <w:r>
              <w:rPr>
                <w:rFonts w:hint="eastAsia" w:ascii="宋体" w:hAnsi="宋体" w:eastAsia="宋体" w:cs="宋体"/>
                <w:bCs/>
                <w:color w:val="000000" w:themeColor="text1"/>
                <w:szCs w:val="21"/>
                <w:highlight w:val="none"/>
                <w14:textFill>
                  <w14:solidFill>
                    <w14:schemeClr w14:val="tx1"/>
                  </w14:solidFill>
                </w14:textFill>
              </w:rPr>
              <w:t>提供所投充电宝（电池容量≥5000mAh）</w:t>
            </w:r>
            <w:r>
              <w:rPr>
                <w:rFonts w:hint="eastAsia" w:ascii="宋体" w:hAnsi="宋体" w:eastAsia="宋体" w:cs="宋体"/>
                <w:bCs/>
                <w:szCs w:val="21"/>
                <w:highlight w:val="none"/>
              </w:rPr>
              <w:t>国家强制性产品认证试验报告（含安全测试报告）得</w:t>
            </w: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rPr>
              <w:t>分；此项满分</w:t>
            </w: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rPr>
              <w:t>分。</w:t>
            </w:r>
          </w:p>
        </w:tc>
        <w:tc>
          <w:tcPr>
            <w:tcW w:w="543" w:type="pct"/>
            <w:vAlign w:val="center"/>
          </w:tcPr>
          <w:p w14:paraId="53127F92">
            <w:pPr>
              <w:pStyle w:val="7"/>
              <w:spacing w:line="360" w:lineRule="auto"/>
              <w:ind w:firstLine="220"/>
              <w:rPr>
                <w:rFonts w:ascii="宋体" w:hAnsi="宋体" w:eastAsia="宋体" w:cs="宋体"/>
                <w:sz w:val="22"/>
              </w:rPr>
            </w:pPr>
          </w:p>
        </w:tc>
      </w:tr>
      <w:tr w14:paraId="5AEB6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56" w:type="pct"/>
            <w:vAlign w:val="center"/>
          </w:tcPr>
          <w:p w14:paraId="47CE661F">
            <w:pPr>
              <w:adjustRightInd w:val="0"/>
              <w:snapToGrid w:val="0"/>
              <w:jc w:val="center"/>
              <w:rPr>
                <w:rFonts w:ascii="宋体" w:hAnsi="宋体" w:eastAsia="宋体" w:cs="宋体"/>
                <w:szCs w:val="21"/>
              </w:rPr>
            </w:pPr>
            <w:r>
              <w:rPr>
                <w:rFonts w:hint="eastAsia" w:ascii="宋体" w:hAnsi="宋体" w:eastAsia="宋体" w:cs="宋体"/>
                <w:szCs w:val="21"/>
              </w:rPr>
              <w:t>6</w:t>
            </w:r>
          </w:p>
        </w:tc>
        <w:tc>
          <w:tcPr>
            <w:tcW w:w="419" w:type="pct"/>
            <w:vMerge w:val="continue"/>
            <w:vAlign w:val="center"/>
          </w:tcPr>
          <w:p w14:paraId="6484EA82">
            <w:pPr>
              <w:adjustRightInd w:val="0"/>
              <w:snapToGrid w:val="0"/>
              <w:jc w:val="center"/>
              <w:rPr>
                <w:rFonts w:ascii="宋体" w:hAnsi="宋体" w:eastAsia="宋体" w:cs="宋体"/>
                <w:szCs w:val="21"/>
              </w:rPr>
            </w:pPr>
          </w:p>
        </w:tc>
        <w:tc>
          <w:tcPr>
            <w:tcW w:w="654" w:type="pct"/>
            <w:vAlign w:val="center"/>
          </w:tcPr>
          <w:p w14:paraId="00036B82">
            <w:pPr>
              <w:adjustRightInd w:val="0"/>
              <w:snapToGrid w:val="0"/>
              <w:jc w:val="center"/>
              <w:rPr>
                <w:rFonts w:ascii="宋体" w:hAnsi="宋体" w:eastAsia="宋体" w:cs="宋体"/>
                <w:szCs w:val="21"/>
              </w:rPr>
            </w:pPr>
            <w:r>
              <w:rPr>
                <w:rFonts w:hint="eastAsia" w:ascii="宋体" w:hAnsi="宋体" w:eastAsia="宋体" w:cs="宋体"/>
                <w:szCs w:val="21"/>
              </w:rPr>
              <w:t>网络安全</w:t>
            </w:r>
          </w:p>
        </w:tc>
        <w:tc>
          <w:tcPr>
            <w:tcW w:w="285" w:type="pct"/>
            <w:vAlign w:val="center"/>
          </w:tcPr>
          <w:p w14:paraId="5C6BAC4E">
            <w:pPr>
              <w:adjustRightInd w:val="0"/>
              <w:snapToGrid w:val="0"/>
              <w:jc w:val="center"/>
              <w:rPr>
                <w:rFonts w:ascii="宋体" w:hAnsi="宋体" w:eastAsia="宋体" w:cs="宋体"/>
                <w:szCs w:val="21"/>
              </w:rPr>
            </w:pPr>
            <w:r>
              <w:rPr>
                <w:rFonts w:hint="eastAsia" w:ascii="宋体" w:hAnsi="宋体" w:eastAsia="宋体" w:cs="宋体"/>
                <w:szCs w:val="21"/>
              </w:rPr>
              <w:t>7</w:t>
            </w:r>
          </w:p>
        </w:tc>
        <w:tc>
          <w:tcPr>
            <w:tcW w:w="2840" w:type="pct"/>
            <w:vAlign w:val="center"/>
          </w:tcPr>
          <w:p w14:paraId="0A37C129">
            <w:pPr>
              <w:adjustRightInd w:val="0"/>
              <w:snapToGrid w:val="0"/>
              <w:rPr>
                <w:rFonts w:ascii="宋体" w:hAnsi="宋体" w:eastAsia="宋体" w:cs="宋体"/>
                <w:szCs w:val="21"/>
              </w:rPr>
            </w:pPr>
            <w:r>
              <w:rPr>
                <w:rFonts w:hint="eastAsia" w:ascii="宋体" w:hAnsi="宋体" w:eastAsia="宋体" w:cs="宋体"/>
                <w:szCs w:val="21"/>
              </w:rPr>
              <w:t>1、扫码租借过程无强制性弹出广告；扫码租借过程无强制性自动绑定其他功能，如自动扣款、免密支付等，提供承诺书。（</w:t>
            </w:r>
            <w:r>
              <w:rPr>
                <w:rFonts w:hint="eastAsia" w:ascii="宋体" w:hAnsi="宋体" w:eastAsia="宋体" w:cs="宋体"/>
                <w:bCs/>
                <w:szCs w:val="21"/>
                <w:highlight w:val="none"/>
              </w:rPr>
              <w:t>此项满分</w:t>
            </w:r>
            <w:r>
              <w:rPr>
                <w:rFonts w:hint="eastAsia" w:ascii="宋体" w:hAnsi="宋体" w:eastAsia="宋体" w:cs="宋体"/>
                <w:szCs w:val="21"/>
              </w:rPr>
              <w:t>3分）。</w:t>
            </w:r>
          </w:p>
          <w:p w14:paraId="2C4785E3">
            <w:pPr>
              <w:adjustRightInd w:val="0"/>
              <w:snapToGrid w:val="0"/>
              <w:rPr>
                <w:rFonts w:ascii="宋体" w:hAnsi="宋体" w:eastAsia="宋体" w:cs="宋体"/>
                <w:szCs w:val="21"/>
              </w:rPr>
            </w:pPr>
            <w:r>
              <w:rPr>
                <w:rFonts w:hint="eastAsia" w:ascii="宋体" w:hAnsi="宋体" w:eastAsia="宋体" w:cs="宋体"/>
                <w:szCs w:val="21"/>
              </w:rPr>
              <w:t>2、智能管理与追溯：</w:t>
            </w:r>
          </w:p>
          <w:p w14:paraId="56DAFE1B">
            <w:pPr>
              <w:adjustRightInd w:val="0"/>
              <w:snapToGrid w:val="0"/>
              <w:rPr>
                <w:rFonts w:ascii="宋体" w:hAnsi="宋体" w:eastAsia="宋体" w:cs="宋体"/>
                <w:szCs w:val="21"/>
              </w:rPr>
            </w:pPr>
            <w:r>
              <w:rPr>
                <w:rFonts w:hint="eastAsia" w:ascii="宋体" w:hAnsi="宋体" w:eastAsia="宋体" w:cs="宋体"/>
                <w:szCs w:val="21"/>
              </w:rPr>
              <w:t xml:space="preserve">2.1实时监测功能：具备电池电量容量、随身充电数据监测等实时监测得 2 分。 </w:t>
            </w:r>
          </w:p>
          <w:p w14:paraId="270E3728">
            <w:pPr>
              <w:adjustRightInd w:val="0"/>
              <w:snapToGrid w:val="0"/>
              <w:rPr>
                <w:rFonts w:hint="eastAsia" w:ascii="宋体" w:hAnsi="宋体" w:eastAsia="宋体" w:cs="宋体"/>
                <w:szCs w:val="21"/>
              </w:rPr>
            </w:pPr>
            <w:r>
              <w:rPr>
                <w:rFonts w:hint="eastAsia" w:ascii="宋体" w:hAnsi="宋体" w:eastAsia="宋体" w:cs="宋体"/>
                <w:szCs w:val="21"/>
              </w:rPr>
              <w:t>2.2 数据安全系统管理：具备异常信息存储与读取功能（显示屏或 APP 可查）得 2 分。</w:t>
            </w:r>
          </w:p>
          <w:p w14:paraId="620741A1">
            <w:pPr>
              <w:adjustRightInd w:val="0"/>
              <w:snapToGrid w:val="0"/>
            </w:pPr>
            <w:r>
              <w:rPr>
                <w:rFonts w:hint="eastAsia" w:ascii="宋体" w:hAnsi="宋体" w:eastAsia="宋体" w:cs="宋体"/>
                <w:szCs w:val="21"/>
              </w:rPr>
              <w:t>注：有网贷金融诈骗医疗</w:t>
            </w:r>
            <w:r>
              <w:rPr>
                <w:rFonts w:hint="eastAsia" w:ascii="宋体" w:hAnsi="宋体" w:eastAsia="宋体" w:cs="宋体"/>
                <w:b/>
                <w:bCs/>
                <w:szCs w:val="21"/>
              </w:rPr>
              <w:t>类广告做废标处理，若中标履行合同中发现，将强制性终止合同并保留法律追究权力。</w:t>
            </w:r>
          </w:p>
        </w:tc>
        <w:tc>
          <w:tcPr>
            <w:tcW w:w="543" w:type="pct"/>
            <w:vAlign w:val="center"/>
          </w:tcPr>
          <w:p w14:paraId="3736F7D2">
            <w:pPr>
              <w:adjustRightInd w:val="0"/>
              <w:snapToGrid w:val="0"/>
              <w:spacing w:line="360" w:lineRule="auto"/>
              <w:rPr>
                <w:rFonts w:ascii="宋体" w:hAnsi="宋体" w:eastAsia="宋体" w:cs="宋体"/>
                <w:sz w:val="22"/>
              </w:rPr>
            </w:pPr>
          </w:p>
        </w:tc>
      </w:tr>
      <w:tr w14:paraId="60B1C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6" w:type="pct"/>
            <w:vAlign w:val="center"/>
          </w:tcPr>
          <w:p w14:paraId="59D96DC0">
            <w:pPr>
              <w:adjustRightInd w:val="0"/>
              <w:snapToGrid w:val="0"/>
              <w:jc w:val="center"/>
              <w:rPr>
                <w:rFonts w:ascii="宋体" w:hAnsi="宋体" w:eastAsia="宋体" w:cs="宋体"/>
                <w:szCs w:val="21"/>
              </w:rPr>
            </w:pPr>
            <w:r>
              <w:rPr>
                <w:rFonts w:hint="eastAsia" w:ascii="宋体" w:hAnsi="宋体" w:eastAsia="宋体" w:cs="宋体"/>
                <w:szCs w:val="21"/>
              </w:rPr>
              <w:t>7</w:t>
            </w:r>
          </w:p>
        </w:tc>
        <w:tc>
          <w:tcPr>
            <w:tcW w:w="419" w:type="pct"/>
            <w:vMerge w:val="continue"/>
            <w:vAlign w:val="center"/>
          </w:tcPr>
          <w:p w14:paraId="046E5047">
            <w:pPr>
              <w:rPr>
                <w:rFonts w:ascii="宋体" w:hAnsi="宋体" w:eastAsia="宋体" w:cs="宋体"/>
                <w:szCs w:val="21"/>
              </w:rPr>
            </w:pPr>
          </w:p>
        </w:tc>
        <w:tc>
          <w:tcPr>
            <w:tcW w:w="654" w:type="pct"/>
            <w:vAlign w:val="center"/>
          </w:tcPr>
          <w:p w14:paraId="7222ABA3">
            <w:pPr>
              <w:rPr>
                <w:rFonts w:ascii="宋体" w:hAnsi="宋体" w:eastAsia="宋体" w:cs="宋体"/>
                <w:szCs w:val="21"/>
              </w:rPr>
            </w:pPr>
            <w:r>
              <w:rPr>
                <w:rFonts w:hint="eastAsia" w:ascii="宋体" w:hAnsi="宋体" w:eastAsia="宋体" w:cs="宋体"/>
                <w:szCs w:val="21"/>
              </w:rPr>
              <w:t>应急方案</w:t>
            </w:r>
          </w:p>
        </w:tc>
        <w:tc>
          <w:tcPr>
            <w:tcW w:w="285" w:type="pct"/>
            <w:vAlign w:val="center"/>
          </w:tcPr>
          <w:p w14:paraId="7A6BD9C8">
            <w:pPr>
              <w:jc w:val="center"/>
              <w:rPr>
                <w:rFonts w:ascii="宋体" w:hAnsi="宋体" w:eastAsia="宋体" w:cs="宋体"/>
                <w:szCs w:val="21"/>
              </w:rPr>
            </w:pPr>
            <w:r>
              <w:rPr>
                <w:rFonts w:hint="eastAsia" w:ascii="宋体" w:hAnsi="宋体" w:eastAsia="宋体" w:cs="宋体"/>
                <w:szCs w:val="21"/>
              </w:rPr>
              <w:t>5</w:t>
            </w:r>
          </w:p>
        </w:tc>
        <w:tc>
          <w:tcPr>
            <w:tcW w:w="2840" w:type="pct"/>
          </w:tcPr>
          <w:p w14:paraId="1BB5B6B1">
            <w:r>
              <w:rPr>
                <w:rFonts w:ascii="宋体" w:hAnsi="宋体" w:eastAsia="宋体" w:cs="宋体"/>
                <w:szCs w:val="21"/>
              </w:rPr>
              <w:t>根据</w:t>
            </w:r>
            <w:r>
              <w:rPr>
                <w:rFonts w:hint="eastAsia" w:ascii="宋体" w:hAnsi="宋体" w:eastAsia="宋体" w:cs="宋体"/>
                <w:szCs w:val="21"/>
              </w:rPr>
              <w:t>供应商</w:t>
            </w:r>
            <w:r>
              <w:rPr>
                <w:rFonts w:ascii="宋体" w:hAnsi="宋体" w:eastAsia="宋体" w:cs="宋体"/>
                <w:szCs w:val="21"/>
              </w:rPr>
              <w:t>提供的本项目的安全保障制度（不限于用电、消防、院感、生产安全）及相应的应急方案等打分</w:t>
            </w:r>
            <w:r>
              <w:rPr>
                <w:rFonts w:hint="eastAsia" w:ascii="宋体" w:hAnsi="宋体" w:eastAsia="宋体" w:cs="宋体"/>
                <w:szCs w:val="21"/>
              </w:rPr>
              <w:t>。</w:t>
            </w:r>
            <w:r>
              <w:rPr>
                <w:rFonts w:hint="eastAsia" w:ascii="宋体" w:hAnsi="宋体" w:eastAsia="宋体" w:cs="宋体"/>
                <w:bCs/>
                <w:szCs w:val="21"/>
              </w:rPr>
              <w:t>横向打分：</w:t>
            </w:r>
            <w:r>
              <w:rPr>
                <w:rFonts w:hint="eastAsia" w:ascii="宋体" w:hAnsi="宋体" w:eastAsia="宋体" w:cs="宋体"/>
                <w:szCs w:val="21"/>
              </w:rPr>
              <w:t>0-5</w:t>
            </w:r>
            <w:r>
              <w:rPr>
                <w:rFonts w:ascii="宋体" w:hAnsi="宋体" w:eastAsia="宋体" w:cs="宋体"/>
                <w:szCs w:val="21"/>
              </w:rPr>
              <w:t>分</w:t>
            </w:r>
            <w:r>
              <w:rPr>
                <w:rFonts w:hint="eastAsia" w:ascii="宋体" w:hAnsi="宋体" w:eastAsia="宋体" w:cs="宋体"/>
                <w:szCs w:val="21"/>
              </w:rPr>
              <w:t>。</w:t>
            </w:r>
          </w:p>
        </w:tc>
        <w:tc>
          <w:tcPr>
            <w:tcW w:w="543" w:type="pct"/>
          </w:tcPr>
          <w:p w14:paraId="58098BFA">
            <w:pPr>
              <w:spacing w:line="360" w:lineRule="auto"/>
              <w:rPr>
                <w:rFonts w:ascii="宋体" w:hAnsi="宋体" w:eastAsia="宋体" w:cs="宋体"/>
                <w:sz w:val="22"/>
              </w:rPr>
            </w:pPr>
          </w:p>
        </w:tc>
      </w:tr>
      <w:tr w14:paraId="3304E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56" w:type="pct"/>
            <w:vAlign w:val="center"/>
          </w:tcPr>
          <w:p w14:paraId="1462D7ED">
            <w:pPr>
              <w:adjustRightInd w:val="0"/>
              <w:snapToGrid w:val="0"/>
              <w:jc w:val="center"/>
              <w:rPr>
                <w:rFonts w:ascii="宋体" w:hAnsi="宋体" w:eastAsia="宋体" w:cs="宋体"/>
                <w:szCs w:val="21"/>
              </w:rPr>
            </w:pPr>
            <w:r>
              <w:rPr>
                <w:rFonts w:hint="eastAsia" w:ascii="宋体" w:hAnsi="宋体" w:eastAsia="宋体" w:cs="宋体"/>
                <w:szCs w:val="21"/>
              </w:rPr>
              <w:t>8</w:t>
            </w:r>
          </w:p>
        </w:tc>
        <w:tc>
          <w:tcPr>
            <w:tcW w:w="419" w:type="pct"/>
            <w:vMerge w:val="restart"/>
            <w:vAlign w:val="center"/>
          </w:tcPr>
          <w:p w14:paraId="0E31F51D">
            <w:pPr>
              <w:adjustRightInd w:val="0"/>
              <w:snapToGrid w:val="0"/>
              <w:rPr>
                <w:rFonts w:hint="eastAsia" w:ascii="宋体" w:hAnsi="宋体" w:eastAsia="宋体" w:cs="宋体"/>
                <w:szCs w:val="21"/>
                <w:lang w:eastAsia="zh-CN"/>
              </w:rPr>
            </w:pPr>
            <w:r>
              <w:rPr>
                <w:rFonts w:hint="eastAsia" w:ascii="宋体" w:hAnsi="宋体" w:eastAsia="宋体" w:cs="宋体"/>
                <w:szCs w:val="21"/>
              </w:rPr>
              <w:t>用户体验</w:t>
            </w:r>
            <w:r>
              <w:rPr>
                <w:rFonts w:hint="eastAsia" w:ascii="宋体" w:hAnsi="宋体" w:eastAsia="宋体" w:cs="宋体"/>
                <w:szCs w:val="21"/>
                <w:lang w:eastAsia="zh-CN"/>
              </w:rPr>
              <w:t>（</w:t>
            </w:r>
            <w:r>
              <w:rPr>
                <w:rFonts w:hint="eastAsia" w:ascii="宋体" w:hAnsi="宋体" w:eastAsia="宋体" w:cs="宋体"/>
                <w:szCs w:val="21"/>
                <w:lang w:val="en-US" w:eastAsia="zh-CN"/>
              </w:rPr>
              <w:t>19分</w:t>
            </w:r>
            <w:r>
              <w:rPr>
                <w:rFonts w:hint="eastAsia" w:ascii="宋体" w:hAnsi="宋体" w:eastAsia="宋体" w:cs="宋体"/>
                <w:szCs w:val="21"/>
                <w:lang w:eastAsia="zh-CN"/>
              </w:rPr>
              <w:t>）</w:t>
            </w:r>
          </w:p>
        </w:tc>
        <w:tc>
          <w:tcPr>
            <w:tcW w:w="654" w:type="pct"/>
            <w:vAlign w:val="center"/>
          </w:tcPr>
          <w:p w14:paraId="3AB706A4">
            <w:pPr>
              <w:adjustRightInd w:val="0"/>
              <w:snapToGrid w:val="0"/>
              <w:rPr>
                <w:rFonts w:ascii="宋体" w:hAnsi="宋体" w:eastAsia="宋体" w:cs="宋体"/>
                <w:szCs w:val="21"/>
              </w:rPr>
            </w:pPr>
            <w:r>
              <w:rPr>
                <w:rFonts w:ascii="宋体" w:hAnsi="宋体" w:eastAsia="宋体" w:cs="宋体"/>
                <w:szCs w:val="21"/>
              </w:rPr>
              <w:t>租借</w:t>
            </w:r>
            <w:r>
              <w:rPr>
                <w:rFonts w:hint="eastAsia" w:ascii="宋体" w:hAnsi="宋体" w:eastAsia="宋体" w:cs="宋体"/>
                <w:szCs w:val="21"/>
              </w:rPr>
              <w:t>收费</w:t>
            </w:r>
            <w:r>
              <w:rPr>
                <w:rFonts w:ascii="宋体" w:hAnsi="宋体" w:eastAsia="宋体" w:cs="宋体"/>
                <w:szCs w:val="21"/>
              </w:rPr>
              <w:t>标准</w:t>
            </w:r>
          </w:p>
        </w:tc>
        <w:tc>
          <w:tcPr>
            <w:tcW w:w="285" w:type="pct"/>
            <w:vAlign w:val="center"/>
          </w:tcPr>
          <w:p w14:paraId="0E5F8578">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2840" w:type="pct"/>
          </w:tcPr>
          <w:p w14:paraId="2F948A20">
            <w:pPr>
              <w:adjustRightInd w:val="0"/>
              <w:snapToGrid w:val="0"/>
              <w:rPr>
                <w:rFonts w:ascii="宋体" w:hAnsi="宋体" w:eastAsia="宋体" w:cs="宋体"/>
                <w:szCs w:val="21"/>
              </w:rPr>
            </w:pPr>
            <w:r>
              <w:rPr>
                <w:rFonts w:ascii="宋体" w:hAnsi="宋体" w:eastAsia="宋体" w:cs="宋体"/>
                <w:szCs w:val="21"/>
              </w:rPr>
              <w:t>根据</w:t>
            </w:r>
            <w:r>
              <w:rPr>
                <w:rFonts w:hint="eastAsia" w:ascii="宋体" w:hAnsi="宋体" w:eastAsia="宋体" w:cs="宋体"/>
                <w:szCs w:val="21"/>
              </w:rPr>
              <w:t>供应商</w:t>
            </w:r>
            <w:r>
              <w:rPr>
                <w:rFonts w:ascii="宋体" w:hAnsi="宋体" w:eastAsia="宋体" w:cs="宋体"/>
                <w:szCs w:val="21"/>
              </w:rPr>
              <w:t>提供收费标准、</w:t>
            </w:r>
            <w:r>
              <w:rPr>
                <w:rFonts w:hint="eastAsia" w:ascii="宋体" w:hAnsi="宋体" w:eastAsia="宋体" w:cs="宋体"/>
                <w:szCs w:val="21"/>
              </w:rPr>
              <w:t>单笔每小时或半小时单价进行打分，</w:t>
            </w:r>
            <w:r>
              <w:rPr>
                <w:rFonts w:ascii="宋体" w:hAnsi="宋体" w:eastAsia="宋体" w:cs="宋体"/>
                <w:szCs w:val="21"/>
              </w:rPr>
              <w:t>分值在0-</w:t>
            </w:r>
            <w:r>
              <w:rPr>
                <w:rFonts w:hint="eastAsia" w:ascii="宋体" w:hAnsi="宋体" w:eastAsia="宋体" w:cs="宋体"/>
                <w:szCs w:val="21"/>
              </w:rPr>
              <w:t>3</w:t>
            </w:r>
            <w:r>
              <w:rPr>
                <w:rFonts w:ascii="宋体" w:hAnsi="宋体" w:eastAsia="宋体" w:cs="宋体"/>
                <w:szCs w:val="21"/>
              </w:rPr>
              <w:t>分；</w:t>
            </w:r>
          </w:p>
          <w:p w14:paraId="58948D26">
            <w:pPr>
              <w:adjustRightInd w:val="0"/>
              <w:snapToGrid w:val="0"/>
              <w:rPr>
                <w:rFonts w:ascii="宋体" w:hAnsi="宋体" w:eastAsia="宋体" w:cs="宋体"/>
                <w:szCs w:val="21"/>
              </w:rPr>
            </w:pPr>
            <w:r>
              <w:rPr>
                <w:rFonts w:hint="eastAsia" w:ascii="宋体" w:hAnsi="宋体" w:eastAsia="宋体" w:cs="宋体"/>
                <w:szCs w:val="21"/>
              </w:rPr>
              <w:t>注：高于1元/半小时，做废标处理。</w:t>
            </w:r>
          </w:p>
        </w:tc>
        <w:tc>
          <w:tcPr>
            <w:tcW w:w="543" w:type="pct"/>
          </w:tcPr>
          <w:p w14:paraId="2D78A10A">
            <w:pPr>
              <w:spacing w:line="360" w:lineRule="auto"/>
              <w:rPr>
                <w:rFonts w:ascii="宋体" w:hAnsi="宋体" w:eastAsia="宋体" w:cs="宋体"/>
                <w:sz w:val="22"/>
              </w:rPr>
            </w:pPr>
          </w:p>
        </w:tc>
      </w:tr>
      <w:tr w14:paraId="789A3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56" w:type="pct"/>
            <w:vAlign w:val="center"/>
          </w:tcPr>
          <w:p w14:paraId="21261DAE">
            <w:pPr>
              <w:adjustRightInd w:val="0"/>
              <w:snapToGrid w:val="0"/>
              <w:jc w:val="center"/>
              <w:rPr>
                <w:rFonts w:ascii="宋体" w:hAnsi="宋体" w:eastAsia="宋体" w:cs="宋体"/>
                <w:szCs w:val="21"/>
              </w:rPr>
            </w:pPr>
            <w:r>
              <w:rPr>
                <w:rFonts w:hint="eastAsia" w:ascii="宋体" w:hAnsi="宋体" w:eastAsia="宋体" w:cs="宋体"/>
                <w:szCs w:val="21"/>
              </w:rPr>
              <w:t>9</w:t>
            </w:r>
          </w:p>
        </w:tc>
        <w:tc>
          <w:tcPr>
            <w:tcW w:w="419" w:type="pct"/>
            <w:vMerge w:val="continue"/>
            <w:vAlign w:val="center"/>
          </w:tcPr>
          <w:p w14:paraId="3DDA3660">
            <w:pPr>
              <w:rPr>
                <w:rFonts w:ascii="宋体" w:hAnsi="宋体" w:eastAsia="宋体" w:cs="宋体"/>
                <w:szCs w:val="21"/>
              </w:rPr>
            </w:pPr>
          </w:p>
        </w:tc>
        <w:tc>
          <w:tcPr>
            <w:tcW w:w="654" w:type="pct"/>
            <w:vAlign w:val="center"/>
          </w:tcPr>
          <w:p w14:paraId="182F65B0">
            <w:pPr>
              <w:adjustRightInd w:val="0"/>
              <w:snapToGrid w:val="0"/>
              <w:rPr>
                <w:rFonts w:ascii="宋体" w:hAnsi="宋体" w:eastAsia="宋体" w:cs="宋体"/>
                <w:szCs w:val="21"/>
              </w:rPr>
            </w:pPr>
            <w:r>
              <w:rPr>
                <w:rFonts w:ascii="宋体" w:hAnsi="宋体" w:eastAsia="宋体" w:cs="宋体"/>
                <w:szCs w:val="21"/>
              </w:rPr>
              <w:t>租借免押金标准</w:t>
            </w:r>
          </w:p>
        </w:tc>
        <w:tc>
          <w:tcPr>
            <w:tcW w:w="285" w:type="pct"/>
            <w:vAlign w:val="center"/>
          </w:tcPr>
          <w:p w14:paraId="5629B3D4">
            <w:pPr>
              <w:jc w:val="center"/>
              <w:rPr>
                <w:rFonts w:ascii="宋体" w:hAnsi="宋体" w:eastAsia="宋体" w:cs="宋体"/>
                <w:szCs w:val="21"/>
              </w:rPr>
            </w:pPr>
            <w:r>
              <w:rPr>
                <w:rFonts w:hint="eastAsia" w:ascii="宋体" w:hAnsi="宋体" w:eastAsia="宋体" w:cs="宋体"/>
                <w:szCs w:val="21"/>
              </w:rPr>
              <w:t>4</w:t>
            </w:r>
          </w:p>
        </w:tc>
        <w:tc>
          <w:tcPr>
            <w:tcW w:w="2840" w:type="pct"/>
          </w:tcPr>
          <w:p w14:paraId="7C46A847">
            <w:pPr>
              <w:adjustRightInd w:val="0"/>
              <w:snapToGrid w:val="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 xml:space="preserve">支持微信信用免押得1分；支持支付宝信用免押得1分； </w:t>
            </w:r>
          </w:p>
          <w:p w14:paraId="343C7617">
            <w:pPr>
              <w:adjustRightInd w:val="0"/>
              <w:snapToGrid w:val="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根据租借押金的多少打分，退还押金及时性等打分，分值在0-2分。</w:t>
            </w:r>
          </w:p>
        </w:tc>
        <w:tc>
          <w:tcPr>
            <w:tcW w:w="543" w:type="pct"/>
          </w:tcPr>
          <w:p w14:paraId="534D5981">
            <w:pPr>
              <w:spacing w:line="360" w:lineRule="auto"/>
              <w:rPr>
                <w:rFonts w:ascii="宋体" w:hAnsi="宋体" w:eastAsia="宋体" w:cs="宋体"/>
                <w:sz w:val="22"/>
              </w:rPr>
            </w:pPr>
          </w:p>
        </w:tc>
      </w:tr>
      <w:tr w14:paraId="21E24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56" w:type="pct"/>
            <w:vAlign w:val="center"/>
          </w:tcPr>
          <w:p w14:paraId="408DF4D9">
            <w:pPr>
              <w:adjustRightInd w:val="0"/>
              <w:snapToGrid w:val="0"/>
              <w:jc w:val="center"/>
              <w:rPr>
                <w:rFonts w:ascii="宋体" w:hAnsi="宋体" w:eastAsia="宋体" w:cs="宋体"/>
                <w:szCs w:val="21"/>
              </w:rPr>
            </w:pPr>
            <w:r>
              <w:rPr>
                <w:rFonts w:hint="eastAsia" w:ascii="宋体" w:hAnsi="宋体" w:eastAsia="宋体" w:cs="宋体"/>
                <w:szCs w:val="21"/>
              </w:rPr>
              <w:t>10</w:t>
            </w:r>
          </w:p>
        </w:tc>
        <w:tc>
          <w:tcPr>
            <w:tcW w:w="419" w:type="pct"/>
            <w:vMerge w:val="continue"/>
            <w:vAlign w:val="center"/>
          </w:tcPr>
          <w:p w14:paraId="2537E467">
            <w:pPr>
              <w:rPr>
                <w:rFonts w:ascii="宋体" w:hAnsi="宋体" w:eastAsia="宋体" w:cs="宋体"/>
                <w:szCs w:val="21"/>
              </w:rPr>
            </w:pPr>
          </w:p>
        </w:tc>
        <w:tc>
          <w:tcPr>
            <w:tcW w:w="654" w:type="pct"/>
            <w:vAlign w:val="center"/>
          </w:tcPr>
          <w:p w14:paraId="52B01B88">
            <w:pPr>
              <w:adjustRightInd w:val="0"/>
              <w:snapToGrid w:val="0"/>
              <w:rPr>
                <w:rFonts w:ascii="宋体" w:hAnsi="宋体" w:eastAsia="宋体" w:cs="宋体"/>
                <w:szCs w:val="21"/>
              </w:rPr>
            </w:pPr>
            <w:r>
              <w:rPr>
                <w:rFonts w:ascii="宋体" w:hAnsi="宋体" w:eastAsia="宋体" w:cs="宋体"/>
                <w:szCs w:val="21"/>
              </w:rPr>
              <w:t>共享充电服务免费使用时限</w:t>
            </w:r>
          </w:p>
        </w:tc>
        <w:tc>
          <w:tcPr>
            <w:tcW w:w="285" w:type="pct"/>
            <w:vAlign w:val="center"/>
          </w:tcPr>
          <w:p w14:paraId="3D7763C0">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val="en-US" w:eastAsia="zh-CN"/>
              </w:rPr>
              <w:t>3</w:t>
            </w:r>
          </w:p>
        </w:tc>
        <w:tc>
          <w:tcPr>
            <w:tcW w:w="2840" w:type="pct"/>
          </w:tcPr>
          <w:p w14:paraId="472779CA">
            <w:pPr>
              <w:adjustRightInd w:val="0"/>
              <w:snapToGrid w:val="0"/>
              <w:rPr>
                <w:rFonts w:hint="eastAsia" w:ascii="宋体" w:hAnsi="宋体" w:eastAsia="宋体" w:cs="宋体"/>
                <w:szCs w:val="21"/>
              </w:rPr>
            </w:pPr>
            <w:r>
              <w:rPr>
                <w:rFonts w:hint="eastAsia" w:ascii="宋体" w:hAnsi="宋体" w:eastAsia="宋体" w:cs="宋体"/>
                <w:szCs w:val="21"/>
              </w:rPr>
              <w:t>根据供应商提供免费使用时限长短等打分，分值在0-</w:t>
            </w:r>
            <w:r>
              <w:rPr>
                <w:rFonts w:hint="eastAsia" w:ascii="宋体" w:hAnsi="宋体" w:eastAsia="宋体" w:cs="宋体"/>
                <w:szCs w:val="21"/>
                <w:lang w:val="en-US" w:eastAsia="zh-CN"/>
              </w:rPr>
              <w:t>3</w:t>
            </w:r>
            <w:r>
              <w:rPr>
                <w:rFonts w:hint="eastAsia" w:ascii="宋体" w:hAnsi="宋体" w:eastAsia="宋体" w:cs="宋体"/>
                <w:szCs w:val="21"/>
              </w:rPr>
              <w:t>分。</w:t>
            </w:r>
          </w:p>
          <w:p w14:paraId="5CA76DB5">
            <w:pPr>
              <w:adjustRightInd w:val="0"/>
              <w:snapToGrid w:val="0"/>
              <w:rPr>
                <w:rFonts w:hint="eastAsia" w:ascii="宋体" w:hAnsi="宋体" w:eastAsia="宋体" w:cs="宋体"/>
                <w:szCs w:val="21"/>
              </w:rPr>
            </w:pPr>
            <w:r>
              <w:rPr>
                <w:rFonts w:hint="eastAsia" w:ascii="宋体" w:hAnsi="宋体" w:eastAsia="宋体" w:cs="宋体"/>
                <w:szCs w:val="21"/>
              </w:rPr>
              <w:t>注：少于5分钟/次，作废标处理。</w:t>
            </w:r>
          </w:p>
        </w:tc>
        <w:tc>
          <w:tcPr>
            <w:tcW w:w="543" w:type="pct"/>
          </w:tcPr>
          <w:p w14:paraId="41E2C9C6">
            <w:pPr>
              <w:spacing w:line="360" w:lineRule="auto"/>
              <w:rPr>
                <w:rFonts w:ascii="宋体" w:hAnsi="宋体" w:eastAsia="宋体" w:cs="宋体"/>
                <w:sz w:val="22"/>
              </w:rPr>
            </w:pPr>
          </w:p>
        </w:tc>
      </w:tr>
      <w:tr w14:paraId="33301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56" w:type="pct"/>
            <w:vAlign w:val="center"/>
          </w:tcPr>
          <w:p w14:paraId="71D726A0">
            <w:pPr>
              <w:adjustRightInd w:val="0"/>
              <w:snapToGrid w:val="0"/>
              <w:jc w:val="center"/>
              <w:rPr>
                <w:rFonts w:ascii="宋体" w:hAnsi="宋体" w:eastAsia="宋体" w:cs="宋体"/>
                <w:szCs w:val="21"/>
              </w:rPr>
            </w:pPr>
            <w:r>
              <w:rPr>
                <w:rFonts w:hint="eastAsia" w:ascii="宋体" w:hAnsi="宋体" w:eastAsia="宋体" w:cs="宋体"/>
                <w:szCs w:val="21"/>
              </w:rPr>
              <w:t>11</w:t>
            </w:r>
          </w:p>
        </w:tc>
        <w:tc>
          <w:tcPr>
            <w:tcW w:w="419" w:type="pct"/>
            <w:vMerge w:val="continue"/>
            <w:vAlign w:val="center"/>
          </w:tcPr>
          <w:p w14:paraId="4586BD0A">
            <w:pPr>
              <w:rPr>
                <w:rFonts w:ascii="宋体" w:hAnsi="宋体" w:eastAsia="宋体" w:cs="宋体"/>
                <w:szCs w:val="21"/>
              </w:rPr>
            </w:pPr>
          </w:p>
        </w:tc>
        <w:tc>
          <w:tcPr>
            <w:tcW w:w="654" w:type="pct"/>
            <w:vAlign w:val="center"/>
          </w:tcPr>
          <w:p w14:paraId="34C2BEE4">
            <w:pPr>
              <w:adjustRightInd w:val="0"/>
              <w:snapToGrid w:val="0"/>
              <w:rPr>
                <w:rFonts w:ascii="宋体" w:hAnsi="宋体" w:eastAsia="宋体" w:cs="宋体"/>
                <w:szCs w:val="21"/>
              </w:rPr>
            </w:pPr>
            <w:r>
              <w:rPr>
                <w:rFonts w:ascii="宋体" w:hAnsi="宋体" w:eastAsia="宋体" w:cs="宋体"/>
                <w:szCs w:val="21"/>
              </w:rPr>
              <w:t>共享充电收费标准</w:t>
            </w:r>
          </w:p>
        </w:tc>
        <w:tc>
          <w:tcPr>
            <w:tcW w:w="285" w:type="pct"/>
            <w:vAlign w:val="center"/>
          </w:tcPr>
          <w:p w14:paraId="495BF93A">
            <w:pPr>
              <w:jc w:val="center"/>
              <w:rPr>
                <w:rFonts w:ascii="宋体" w:hAnsi="宋体" w:eastAsia="宋体" w:cs="宋体"/>
                <w:szCs w:val="21"/>
              </w:rPr>
            </w:pPr>
            <w:r>
              <w:rPr>
                <w:rFonts w:hint="eastAsia" w:ascii="宋体" w:hAnsi="宋体" w:eastAsia="宋体" w:cs="宋体"/>
                <w:szCs w:val="21"/>
              </w:rPr>
              <w:t>3</w:t>
            </w:r>
          </w:p>
        </w:tc>
        <w:tc>
          <w:tcPr>
            <w:tcW w:w="2840" w:type="pct"/>
          </w:tcPr>
          <w:p w14:paraId="1519235B">
            <w:pPr>
              <w:adjustRightInd w:val="0"/>
              <w:snapToGrid w:val="0"/>
              <w:rPr>
                <w:rFonts w:ascii="宋体" w:hAnsi="宋体" w:eastAsia="宋体" w:cs="宋体"/>
                <w:szCs w:val="21"/>
              </w:rPr>
            </w:pPr>
            <w:r>
              <w:rPr>
                <w:rFonts w:ascii="宋体" w:hAnsi="宋体" w:eastAsia="宋体" w:cs="宋体"/>
                <w:szCs w:val="21"/>
              </w:rPr>
              <w:t>根据</w:t>
            </w:r>
            <w:r>
              <w:rPr>
                <w:rFonts w:hint="eastAsia" w:ascii="宋体" w:hAnsi="宋体" w:eastAsia="宋体" w:cs="宋体"/>
                <w:szCs w:val="21"/>
              </w:rPr>
              <w:t>供应商</w:t>
            </w:r>
            <w:r>
              <w:rPr>
                <w:rFonts w:ascii="宋体" w:hAnsi="宋体" w:eastAsia="宋体" w:cs="宋体"/>
                <w:szCs w:val="21"/>
              </w:rPr>
              <w:t>提供收费标准、</w:t>
            </w:r>
            <w:r>
              <w:rPr>
                <w:rFonts w:hint="eastAsia" w:ascii="宋体" w:hAnsi="宋体" w:eastAsia="宋体" w:cs="宋体"/>
                <w:szCs w:val="21"/>
              </w:rPr>
              <w:t>单笔每小时单价，</w:t>
            </w:r>
            <w:r>
              <w:rPr>
                <w:rFonts w:ascii="宋体" w:hAnsi="宋体" w:eastAsia="宋体" w:cs="宋体"/>
                <w:szCs w:val="21"/>
              </w:rPr>
              <w:t>每天收费最高限额</w:t>
            </w:r>
            <w:r>
              <w:rPr>
                <w:rFonts w:hint="eastAsia" w:ascii="宋体" w:hAnsi="宋体" w:eastAsia="宋体" w:cs="宋体"/>
                <w:szCs w:val="21"/>
              </w:rPr>
              <w:t>进行打分，</w:t>
            </w:r>
            <w:r>
              <w:rPr>
                <w:rFonts w:ascii="宋体" w:hAnsi="宋体" w:eastAsia="宋体" w:cs="宋体"/>
                <w:szCs w:val="21"/>
              </w:rPr>
              <w:t>分值在0-</w:t>
            </w:r>
            <w:r>
              <w:rPr>
                <w:rFonts w:hint="eastAsia" w:ascii="宋体" w:hAnsi="宋体" w:eastAsia="宋体" w:cs="宋体"/>
                <w:szCs w:val="21"/>
              </w:rPr>
              <w:t>3</w:t>
            </w:r>
            <w:r>
              <w:rPr>
                <w:rFonts w:ascii="宋体" w:hAnsi="宋体" w:eastAsia="宋体" w:cs="宋体"/>
                <w:szCs w:val="21"/>
              </w:rPr>
              <w:t>分</w:t>
            </w:r>
            <w:r>
              <w:rPr>
                <w:rFonts w:hint="eastAsia" w:ascii="宋体" w:hAnsi="宋体" w:eastAsia="宋体" w:cs="宋体"/>
                <w:szCs w:val="21"/>
              </w:rPr>
              <w:t>。</w:t>
            </w:r>
          </w:p>
          <w:p w14:paraId="07BE6466">
            <w:pPr>
              <w:adjustRightInd w:val="0"/>
              <w:snapToGrid w:val="0"/>
              <w:rPr>
                <w:rFonts w:ascii="宋体" w:hAnsi="宋体" w:eastAsia="宋体" w:cs="宋体"/>
                <w:szCs w:val="21"/>
              </w:rPr>
            </w:pPr>
            <w:r>
              <w:rPr>
                <w:rFonts w:hint="eastAsia" w:ascii="宋体" w:hAnsi="宋体" w:eastAsia="宋体" w:cs="宋体"/>
                <w:szCs w:val="21"/>
              </w:rPr>
              <w:t>注：高于30元/日，作废标处理。</w:t>
            </w:r>
          </w:p>
        </w:tc>
        <w:tc>
          <w:tcPr>
            <w:tcW w:w="543" w:type="pct"/>
          </w:tcPr>
          <w:p w14:paraId="4562D1C1">
            <w:pPr>
              <w:spacing w:line="360" w:lineRule="auto"/>
              <w:rPr>
                <w:rFonts w:ascii="宋体" w:hAnsi="宋体" w:eastAsia="宋体" w:cs="宋体"/>
                <w:sz w:val="22"/>
              </w:rPr>
            </w:pPr>
          </w:p>
        </w:tc>
      </w:tr>
      <w:tr w14:paraId="39913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56" w:type="pct"/>
            <w:vAlign w:val="center"/>
          </w:tcPr>
          <w:p w14:paraId="62C91DEA">
            <w:pPr>
              <w:adjustRightInd w:val="0"/>
              <w:snapToGrid w:val="0"/>
              <w:jc w:val="center"/>
              <w:rPr>
                <w:rFonts w:ascii="宋体" w:hAnsi="宋体" w:eastAsia="宋体" w:cs="宋体"/>
                <w:szCs w:val="21"/>
              </w:rPr>
            </w:pPr>
            <w:r>
              <w:rPr>
                <w:rFonts w:hint="eastAsia" w:ascii="宋体" w:hAnsi="宋体" w:eastAsia="宋体" w:cs="宋体"/>
                <w:szCs w:val="21"/>
              </w:rPr>
              <w:t>12</w:t>
            </w:r>
          </w:p>
        </w:tc>
        <w:tc>
          <w:tcPr>
            <w:tcW w:w="419" w:type="pct"/>
            <w:vMerge w:val="continue"/>
            <w:vAlign w:val="center"/>
          </w:tcPr>
          <w:p w14:paraId="7CCE3AD6">
            <w:pPr>
              <w:rPr>
                <w:rFonts w:ascii="宋体" w:hAnsi="宋体" w:eastAsia="宋体" w:cs="宋体"/>
                <w:szCs w:val="21"/>
              </w:rPr>
            </w:pPr>
          </w:p>
        </w:tc>
        <w:tc>
          <w:tcPr>
            <w:tcW w:w="654" w:type="pct"/>
            <w:vAlign w:val="center"/>
          </w:tcPr>
          <w:p w14:paraId="1F28614B">
            <w:pPr>
              <w:adjustRightInd w:val="0"/>
              <w:snapToGrid w:val="0"/>
              <w:rPr>
                <w:rFonts w:ascii="宋体" w:hAnsi="宋体" w:eastAsia="宋体" w:cs="宋体"/>
                <w:szCs w:val="21"/>
              </w:rPr>
            </w:pPr>
            <w:r>
              <w:rPr>
                <w:rFonts w:hint="eastAsia" w:ascii="宋体" w:hAnsi="宋体" w:eastAsia="宋体" w:cs="宋体"/>
                <w:szCs w:val="21"/>
              </w:rPr>
              <w:t>充电宝故障、遗失处理方案</w:t>
            </w:r>
          </w:p>
        </w:tc>
        <w:tc>
          <w:tcPr>
            <w:tcW w:w="285" w:type="pct"/>
            <w:vAlign w:val="center"/>
          </w:tcPr>
          <w:p w14:paraId="628407F1">
            <w:pPr>
              <w:jc w:val="center"/>
              <w:rPr>
                <w:rFonts w:ascii="宋体" w:hAnsi="宋体" w:eastAsia="宋体" w:cs="宋体"/>
                <w:szCs w:val="21"/>
              </w:rPr>
            </w:pPr>
            <w:r>
              <w:rPr>
                <w:rFonts w:hint="eastAsia" w:ascii="宋体" w:hAnsi="宋体" w:eastAsia="宋体" w:cs="宋体"/>
                <w:szCs w:val="21"/>
              </w:rPr>
              <w:t>3</w:t>
            </w:r>
          </w:p>
        </w:tc>
        <w:tc>
          <w:tcPr>
            <w:tcW w:w="2840" w:type="pct"/>
          </w:tcPr>
          <w:p w14:paraId="1CB13A94">
            <w:pPr>
              <w:adjustRightInd w:val="0"/>
              <w:snapToGrid w:val="0"/>
              <w:rPr>
                <w:rFonts w:ascii="宋体" w:hAnsi="宋体" w:eastAsia="宋体" w:cs="宋体"/>
                <w:szCs w:val="21"/>
              </w:rPr>
            </w:pPr>
            <w:r>
              <w:rPr>
                <w:rFonts w:hint="eastAsia" w:ascii="宋体" w:hAnsi="宋体" w:eastAsia="宋体" w:cs="宋体"/>
                <w:szCs w:val="21"/>
              </w:rPr>
              <w:t>充电柜充电宝如遇故障，如借宝已计时但未弹出宝、归还未正常识别等情况；用户借宝遗忘多天后归还、借宝遗失等情况。据投标人解决方案进行打分，</w:t>
            </w:r>
            <w:r>
              <w:rPr>
                <w:rFonts w:ascii="宋体" w:hAnsi="宋体" w:eastAsia="宋体" w:cs="宋体"/>
                <w:szCs w:val="21"/>
              </w:rPr>
              <w:t>分值在0-</w:t>
            </w:r>
            <w:r>
              <w:rPr>
                <w:rFonts w:hint="eastAsia" w:ascii="宋体" w:hAnsi="宋体" w:eastAsia="宋体" w:cs="宋体"/>
                <w:szCs w:val="21"/>
              </w:rPr>
              <w:t>3</w:t>
            </w:r>
            <w:r>
              <w:rPr>
                <w:rFonts w:ascii="宋体" w:hAnsi="宋体" w:eastAsia="宋体" w:cs="宋体"/>
                <w:szCs w:val="21"/>
              </w:rPr>
              <w:t>分</w:t>
            </w:r>
            <w:r>
              <w:rPr>
                <w:rFonts w:hint="eastAsia" w:ascii="宋体" w:hAnsi="宋体" w:eastAsia="宋体" w:cs="宋体"/>
                <w:szCs w:val="21"/>
              </w:rPr>
              <w:t>。</w:t>
            </w:r>
          </w:p>
        </w:tc>
        <w:tc>
          <w:tcPr>
            <w:tcW w:w="543" w:type="pct"/>
          </w:tcPr>
          <w:p w14:paraId="06B1AE56">
            <w:pPr>
              <w:spacing w:line="360" w:lineRule="auto"/>
              <w:rPr>
                <w:rFonts w:ascii="宋体" w:hAnsi="宋体" w:eastAsia="宋体" w:cs="宋体"/>
                <w:sz w:val="22"/>
              </w:rPr>
            </w:pPr>
          </w:p>
        </w:tc>
      </w:tr>
      <w:tr w14:paraId="1ED76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56" w:type="pct"/>
            <w:vAlign w:val="center"/>
          </w:tcPr>
          <w:p w14:paraId="01187C80">
            <w:pPr>
              <w:adjustRightInd w:val="0"/>
              <w:snapToGrid w:val="0"/>
              <w:jc w:val="center"/>
              <w:rPr>
                <w:rFonts w:ascii="宋体" w:hAnsi="宋体" w:eastAsia="宋体" w:cs="宋体"/>
                <w:szCs w:val="21"/>
              </w:rPr>
            </w:pPr>
            <w:r>
              <w:rPr>
                <w:rFonts w:hint="eastAsia" w:ascii="宋体" w:hAnsi="宋体" w:eastAsia="宋体" w:cs="宋体"/>
                <w:szCs w:val="21"/>
              </w:rPr>
              <w:t>13</w:t>
            </w:r>
          </w:p>
        </w:tc>
        <w:tc>
          <w:tcPr>
            <w:tcW w:w="419" w:type="pct"/>
            <w:vMerge w:val="continue"/>
            <w:vAlign w:val="center"/>
          </w:tcPr>
          <w:p w14:paraId="23EABA15">
            <w:pPr>
              <w:rPr>
                <w:rFonts w:ascii="宋体" w:hAnsi="宋体" w:eastAsia="宋体" w:cs="宋体"/>
                <w:szCs w:val="21"/>
              </w:rPr>
            </w:pPr>
          </w:p>
        </w:tc>
        <w:tc>
          <w:tcPr>
            <w:tcW w:w="654" w:type="pct"/>
            <w:vAlign w:val="center"/>
          </w:tcPr>
          <w:p w14:paraId="6E2D0507">
            <w:pPr>
              <w:adjustRightInd w:val="0"/>
              <w:snapToGrid w:val="0"/>
              <w:rPr>
                <w:rFonts w:ascii="宋体" w:hAnsi="宋体" w:eastAsia="宋体" w:cs="宋体"/>
                <w:szCs w:val="21"/>
              </w:rPr>
            </w:pPr>
            <w:r>
              <w:rPr>
                <w:rFonts w:hint="eastAsia" w:ascii="宋体" w:hAnsi="宋体" w:eastAsia="宋体" w:cs="宋体"/>
                <w:szCs w:val="21"/>
              </w:rPr>
              <w:t>充电宝通还范围</w:t>
            </w:r>
          </w:p>
        </w:tc>
        <w:tc>
          <w:tcPr>
            <w:tcW w:w="285" w:type="pct"/>
            <w:vAlign w:val="center"/>
          </w:tcPr>
          <w:p w14:paraId="2E86FDFB">
            <w:pPr>
              <w:jc w:val="center"/>
              <w:rPr>
                <w:rFonts w:ascii="宋体" w:hAnsi="宋体" w:eastAsia="宋体" w:cs="宋体"/>
                <w:szCs w:val="21"/>
              </w:rPr>
            </w:pPr>
            <w:bookmarkStart w:id="1" w:name="_GoBack"/>
            <w:bookmarkEnd w:id="1"/>
            <w:r>
              <w:rPr>
                <w:rFonts w:hint="eastAsia" w:ascii="宋体" w:hAnsi="宋体" w:eastAsia="宋体" w:cs="宋体"/>
                <w:szCs w:val="21"/>
              </w:rPr>
              <w:t>3</w:t>
            </w:r>
          </w:p>
        </w:tc>
        <w:tc>
          <w:tcPr>
            <w:tcW w:w="2840" w:type="pct"/>
          </w:tcPr>
          <w:p w14:paraId="0AB0915A">
            <w:pPr>
              <w:adjustRightInd w:val="0"/>
              <w:snapToGrid w:val="0"/>
              <w:rPr>
                <w:rFonts w:ascii="宋体" w:hAnsi="宋体" w:eastAsia="宋体" w:cs="宋体"/>
                <w:szCs w:val="21"/>
              </w:rPr>
            </w:pPr>
            <w:r>
              <w:rPr>
                <w:rFonts w:hint="eastAsia" w:ascii="宋体" w:hAnsi="宋体" w:eastAsia="宋体" w:cs="宋体"/>
                <w:szCs w:val="21"/>
              </w:rPr>
              <w:t>投标人所投标的归还点可不限于医院，据可通还区域范围进行打分，</w:t>
            </w:r>
            <w:r>
              <w:rPr>
                <w:rFonts w:ascii="宋体" w:hAnsi="宋体" w:eastAsia="宋体" w:cs="宋体"/>
                <w:szCs w:val="21"/>
              </w:rPr>
              <w:t>分值在0-</w:t>
            </w:r>
            <w:r>
              <w:rPr>
                <w:rFonts w:hint="eastAsia" w:ascii="宋体" w:hAnsi="宋体" w:eastAsia="宋体" w:cs="宋体"/>
                <w:szCs w:val="21"/>
              </w:rPr>
              <w:t>3</w:t>
            </w:r>
            <w:r>
              <w:rPr>
                <w:rFonts w:ascii="宋体" w:hAnsi="宋体" w:eastAsia="宋体" w:cs="宋体"/>
                <w:szCs w:val="21"/>
              </w:rPr>
              <w:t>分</w:t>
            </w:r>
            <w:r>
              <w:rPr>
                <w:rFonts w:hint="eastAsia" w:ascii="宋体" w:hAnsi="宋体" w:eastAsia="宋体" w:cs="宋体"/>
                <w:szCs w:val="21"/>
              </w:rPr>
              <w:t>。</w:t>
            </w:r>
          </w:p>
        </w:tc>
        <w:tc>
          <w:tcPr>
            <w:tcW w:w="543" w:type="pct"/>
          </w:tcPr>
          <w:p w14:paraId="4BF366BE">
            <w:pPr>
              <w:spacing w:line="360" w:lineRule="auto"/>
              <w:rPr>
                <w:rFonts w:ascii="宋体" w:hAnsi="宋体" w:eastAsia="宋体" w:cs="宋体"/>
                <w:sz w:val="22"/>
              </w:rPr>
            </w:pPr>
          </w:p>
        </w:tc>
      </w:tr>
      <w:tr w14:paraId="4DBE9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56" w:type="pct"/>
            <w:vAlign w:val="center"/>
          </w:tcPr>
          <w:p w14:paraId="275823D6">
            <w:pPr>
              <w:adjustRightInd w:val="0"/>
              <w:snapToGrid w:val="0"/>
              <w:jc w:val="center"/>
              <w:rPr>
                <w:rFonts w:ascii="宋体" w:hAnsi="宋体" w:eastAsia="宋体" w:cs="宋体"/>
                <w:szCs w:val="21"/>
              </w:rPr>
            </w:pPr>
            <w:r>
              <w:rPr>
                <w:rFonts w:hint="eastAsia" w:ascii="宋体" w:hAnsi="宋体" w:eastAsia="宋体" w:cs="宋体"/>
                <w:szCs w:val="21"/>
              </w:rPr>
              <w:t>14</w:t>
            </w:r>
          </w:p>
        </w:tc>
        <w:tc>
          <w:tcPr>
            <w:tcW w:w="419" w:type="pct"/>
            <w:vMerge w:val="restart"/>
            <w:vAlign w:val="center"/>
          </w:tcPr>
          <w:p w14:paraId="68CBBB4F">
            <w:pPr>
              <w:rPr>
                <w:rFonts w:hint="eastAsia" w:ascii="宋体" w:hAnsi="宋体" w:eastAsia="宋体" w:cs="宋体"/>
                <w:szCs w:val="21"/>
                <w:lang w:eastAsia="zh-CN"/>
              </w:rPr>
            </w:pPr>
            <w:r>
              <w:rPr>
                <w:rFonts w:hint="eastAsia" w:ascii="宋体" w:hAnsi="宋体" w:eastAsia="宋体" w:cs="宋体"/>
                <w:szCs w:val="21"/>
              </w:rPr>
              <w:t>售后服务</w:t>
            </w:r>
            <w:r>
              <w:rPr>
                <w:rFonts w:hint="eastAsia" w:ascii="宋体" w:hAnsi="宋体" w:eastAsia="宋体" w:cs="宋体"/>
                <w:szCs w:val="21"/>
                <w:lang w:eastAsia="zh-CN"/>
              </w:rPr>
              <w:t>（</w:t>
            </w:r>
            <w:r>
              <w:rPr>
                <w:rFonts w:hint="eastAsia" w:ascii="宋体" w:hAnsi="宋体" w:eastAsia="宋体" w:cs="宋体"/>
                <w:szCs w:val="21"/>
                <w:lang w:val="en-US" w:eastAsia="zh-CN"/>
              </w:rPr>
              <w:t>13分</w:t>
            </w:r>
            <w:r>
              <w:rPr>
                <w:rFonts w:hint="eastAsia" w:ascii="宋体" w:hAnsi="宋体" w:eastAsia="宋体" w:cs="宋体"/>
                <w:szCs w:val="21"/>
                <w:lang w:eastAsia="zh-CN"/>
              </w:rPr>
              <w:t>）</w:t>
            </w:r>
          </w:p>
        </w:tc>
        <w:tc>
          <w:tcPr>
            <w:tcW w:w="654" w:type="pct"/>
            <w:vAlign w:val="center"/>
          </w:tcPr>
          <w:p w14:paraId="0EB73C7C">
            <w:pPr>
              <w:adjustRightInd w:val="0"/>
              <w:snapToGrid w:val="0"/>
              <w:rPr>
                <w:rFonts w:ascii="宋体" w:hAnsi="宋体" w:eastAsia="宋体" w:cs="宋体"/>
                <w:szCs w:val="21"/>
              </w:rPr>
            </w:pPr>
            <w:r>
              <w:rPr>
                <w:rFonts w:hint="eastAsia" w:ascii="宋体" w:hAnsi="宋体" w:eastAsia="宋体" w:cs="宋体"/>
                <w:szCs w:val="21"/>
              </w:rPr>
              <w:t>服务</w:t>
            </w:r>
            <w:r>
              <w:rPr>
                <w:rFonts w:ascii="宋体" w:hAnsi="宋体" w:eastAsia="宋体" w:cs="宋体"/>
                <w:szCs w:val="21"/>
              </w:rPr>
              <w:t>方案</w:t>
            </w:r>
          </w:p>
        </w:tc>
        <w:tc>
          <w:tcPr>
            <w:tcW w:w="285" w:type="pct"/>
            <w:vAlign w:val="center"/>
          </w:tcPr>
          <w:p w14:paraId="16D8445A">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2840" w:type="pct"/>
          </w:tcPr>
          <w:p w14:paraId="0231D02E">
            <w:pPr>
              <w:adjustRightInd w:val="0"/>
              <w:snapToGrid w:val="0"/>
              <w:rPr>
                <w:rFonts w:ascii="宋体" w:hAnsi="宋体" w:eastAsia="宋体" w:cs="宋体"/>
                <w:szCs w:val="21"/>
              </w:rPr>
            </w:pPr>
            <w:r>
              <w:rPr>
                <w:rFonts w:ascii="宋体" w:hAnsi="宋体" w:eastAsia="宋体" w:cs="宋体"/>
                <w:szCs w:val="21"/>
              </w:rPr>
              <w:t>根据</w:t>
            </w:r>
            <w:r>
              <w:rPr>
                <w:rFonts w:hint="eastAsia" w:ascii="宋体" w:hAnsi="宋体" w:eastAsia="宋体" w:cs="宋体"/>
                <w:szCs w:val="21"/>
              </w:rPr>
              <w:t>供应商</w:t>
            </w:r>
            <w:r>
              <w:rPr>
                <w:rFonts w:ascii="宋体" w:hAnsi="宋体" w:eastAsia="宋体" w:cs="宋体"/>
                <w:szCs w:val="21"/>
              </w:rPr>
              <w:t>提供服务方案及人员保障计划的完整性、</w:t>
            </w:r>
            <w:r>
              <w:rPr>
                <w:rFonts w:hint="eastAsia" w:ascii="宋体" w:hAnsi="宋体" w:eastAsia="宋体" w:cs="宋体"/>
                <w:szCs w:val="21"/>
              </w:rPr>
              <w:t>日常维护（包含考勤签到）设备消毒</w:t>
            </w:r>
            <w:r>
              <w:rPr>
                <w:rFonts w:ascii="宋体" w:hAnsi="宋体" w:eastAsia="宋体" w:cs="宋体"/>
                <w:szCs w:val="21"/>
              </w:rPr>
              <w:t>，分值在</w:t>
            </w:r>
            <w:r>
              <w:rPr>
                <w:rFonts w:hint="eastAsia" w:ascii="宋体" w:hAnsi="宋体" w:eastAsia="宋体" w:cs="宋体"/>
                <w:szCs w:val="21"/>
              </w:rPr>
              <w:t>0</w:t>
            </w:r>
            <w:r>
              <w:rPr>
                <w:rFonts w:ascii="宋体" w:hAnsi="宋体" w:eastAsia="宋体" w:cs="宋体"/>
                <w:szCs w:val="21"/>
              </w:rPr>
              <w:t>-</w:t>
            </w:r>
            <w:r>
              <w:rPr>
                <w:rFonts w:hint="eastAsia" w:ascii="宋体" w:hAnsi="宋体" w:eastAsia="宋体" w:cs="宋体"/>
                <w:szCs w:val="21"/>
              </w:rPr>
              <w:t>3</w:t>
            </w:r>
            <w:r>
              <w:rPr>
                <w:rFonts w:ascii="宋体" w:hAnsi="宋体" w:eastAsia="宋体" w:cs="宋体"/>
                <w:szCs w:val="21"/>
              </w:rPr>
              <w:t>分</w:t>
            </w:r>
          </w:p>
        </w:tc>
        <w:tc>
          <w:tcPr>
            <w:tcW w:w="543" w:type="pct"/>
          </w:tcPr>
          <w:p w14:paraId="55577392">
            <w:pPr>
              <w:spacing w:line="360" w:lineRule="auto"/>
              <w:rPr>
                <w:rFonts w:ascii="宋体" w:hAnsi="宋体" w:eastAsia="宋体" w:cs="宋体"/>
                <w:sz w:val="22"/>
              </w:rPr>
            </w:pPr>
          </w:p>
        </w:tc>
      </w:tr>
      <w:tr w14:paraId="0FA12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56" w:type="pct"/>
            <w:vAlign w:val="center"/>
          </w:tcPr>
          <w:p w14:paraId="60F89E2C">
            <w:pPr>
              <w:adjustRightInd w:val="0"/>
              <w:snapToGrid w:val="0"/>
              <w:jc w:val="center"/>
              <w:rPr>
                <w:rFonts w:ascii="宋体" w:hAnsi="宋体" w:eastAsia="宋体" w:cs="宋体"/>
                <w:szCs w:val="21"/>
              </w:rPr>
            </w:pPr>
            <w:r>
              <w:rPr>
                <w:rFonts w:hint="eastAsia" w:ascii="宋体" w:hAnsi="宋体" w:eastAsia="宋体" w:cs="宋体"/>
                <w:szCs w:val="21"/>
              </w:rPr>
              <w:t>15</w:t>
            </w:r>
          </w:p>
        </w:tc>
        <w:tc>
          <w:tcPr>
            <w:tcW w:w="419" w:type="pct"/>
            <w:vMerge w:val="continue"/>
            <w:vAlign w:val="center"/>
          </w:tcPr>
          <w:p w14:paraId="4D566589">
            <w:pPr>
              <w:rPr>
                <w:rFonts w:ascii="宋体" w:hAnsi="宋体" w:eastAsia="宋体" w:cs="宋体"/>
                <w:szCs w:val="21"/>
              </w:rPr>
            </w:pPr>
          </w:p>
        </w:tc>
        <w:tc>
          <w:tcPr>
            <w:tcW w:w="654" w:type="pct"/>
            <w:vAlign w:val="center"/>
          </w:tcPr>
          <w:p w14:paraId="5D33FF44">
            <w:pPr>
              <w:rPr>
                <w:rFonts w:ascii="宋体" w:hAnsi="宋体" w:eastAsia="宋体" w:cs="宋体"/>
                <w:szCs w:val="21"/>
              </w:rPr>
            </w:pPr>
            <w:r>
              <w:rPr>
                <w:rFonts w:hint="eastAsia" w:ascii="宋体" w:hAnsi="宋体" w:eastAsia="宋体" w:cs="宋体"/>
                <w:szCs w:val="21"/>
              </w:rPr>
              <w:t>服务人员</w:t>
            </w:r>
          </w:p>
        </w:tc>
        <w:tc>
          <w:tcPr>
            <w:tcW w:w="285" w:type="pct"/>
            <w:vAlign w:val="center"/>
          </w:tcPr>
          <w:p w14:paraId="2FB68D26">
            <w:pPr>
              <w:jc w:val="center"/>
              <w:rPr>
                <w:rFonts w:ascii="宋体" w:hAnsi="宋体" w:eastAsia="宋体" w:cs="宋体"/>
                <w:szCs w:val="21"/>
              </w:rPr>
            </w:pPr>
            <w:r>
              <w:rPr>
                <w:rFonts w:hint="eastAsia" w:ascii="宋体" w:hAnsi="宋体" w:eastAsia="宋体" w:cs="宋体"/>
                <w:szCs w:val="21"/>
              </w:rPr>
              <w:t>5</w:t>
            </w:r>
          </w:p>
        </w:tc>
        <w:tc>
          <w:tcPr>
            <w:tcW w:w="2840" w:type="pct"/>
          </w:tcPr>
          <w:p w14:paraId="3CB3BD90">
            <w:pPr>
              <w:rPr>
                <w:rFonts w:ascii="宋体" w:hAnsi="宋体" w:eastAsia="宋体" w:cs="宋体"/>
                <w:szCs w:val="21"/>
              </w:rPr>
            </w:pPr>
            <w:r>
              <w:rPr>
                <w:rFonts w:ascii="宋体" w:hAnsi="宋体" w:eastAsia="宋体" w:cs="宋体"/>
                <w:szCs w:val="21"/>
              </w:rPr>
              <w:t>公司</w:t>
            </w:r>
            <w:r>
              <w:rPr>
                <w:rFonts w:hint="eastAsia" w:ascii="宋体" w:hAnsi="宋体" w:eastAsia="宋体" w:cs="宋体"/>
                <w:szCs w:val="21"/>
              </w:rPr>
              <w:t>在温州市辖区设有专业维修售后点</w:t>
            </w:r>
            <w:r>
              <w:rPr>
                <w:rFonts w:ascii="宋体" w:hAnsi="宋体" w:eastAsia="宋体" w:cs="宋体"/>
                <w:szCs w:val="21"/>
              </w:rPr>
              <w:t>，</w:t>
            </w:r>
            <w:r>
              <w:rPr>
                <w:rFonts w:hint="eastAsia" w:ascii="宋体" w:hAnsi="宋体" w:eastAsia="宋体" w:cs="宋体"/>
                <w:szCs w:val="21"/>
              </w:rPr>
              <w:t>维修售后人员</w:t>
            </w:r>
            <w:r>
              <w:rPr>
                <w:rFonts w:ascii="宋体" w:hAnsi="宋体" w:eastAsia="宋体" w:cs="宋体"/>
                <w:szCs w:val="21"/>
              </w:rPr>
              <w:t>提供设备售后保障</w:t>
            </w:r>
            <w:r>
              <w:rPr>
                <w:rFonts w:hint="eastAsia" w:ascii="宋体" w:hAnsi="宋体" w:eastAsia="宋体" w:cs="宋体"/>
                <w:szCs w:val="21"/>
              </w:rPr>
              <w:t>，根据维修点位置、维修人员数量打分，</w:t>
            </w:r>
            <w:r>
              <w:rPr>
                <w:rFonts w:ascii="宋体" w:hAnsi="宋体" w:eastAsia="宋体" w:cs="宋体"/>
                <w:szCs w:val="21"/>
              </w:rPr>
              <w:t>分值在0-</w:t>
            </w:r>
            <w:r>
              <w:rPr>
                <w:rFonts w:hint="eastAsia" w:ascii="宋体" w:hAnsi="宋体" w:eastAsia="宋体" w:cs="宋体"/>
                <w:szCs w:val="21"/>
              </w:rPr>
              <w:t>3</w:t>
            </w:r>
            <w:r>
              <w:rPr>
                <w:rFonts w:ascii="宋体" w:hAnsi="宋体" w:eastAsia="宋体" w:cs="宋体"/>
                <w:szCs w:val="21"/>
              </w:rPr>
              <w:t>分</w:t>
            </w:r>
            <w:r>
              <w:rPr>
                <w:rFonts w:hint="eastAsia" w:ascii="宋体" w:hAnsi="宋体" w:eastAsia="宋体" w:cs="宋体"/>
                <w:szCs w:val="21"/>
              </w:rPr>
              <w:t>。</w:t>
            </w:r>
          </w:p>
          <w:p w14:paraId="0A627A48">
            <w:pPr>
              <w:rPr>
                <w:rFonts w:ascii="宋体" w:hAnsi="宋体" w:eastAsia="宋体" w:cs="宋体"/>
                <w:szCs w:val="21"/>
              </w:rPr>
            </w:pPr>
            <w:r>
              <w:rPr>
                <w:rFonts w:hint="eastAsia" w:ascii="宋体" w:hAnsi="宋体" w:eastAsia="宋体" w:cs="宋体"/>
                <w:szCs w:val="21"/>
              </w:rPr>
              <w:t>在本项目设有专职人员，并在设备上贴有专职人员联系方式，得2分。</w:t>
            </w:r>
          </w:p>
          <w:p w14:paraId="31A027AB">
            <w:pPr>
              <w:rPr>
                <w:rFonts w:ascii="宋体" w:hAnsi="宋体" w:eastAsia="宋体" w:cs="宋体"/>
                <w:szCs w:val="21"/>
              </w:rPr>
            </w:pPr>
            <w:r>
              <w:rPr>
                <w:rFonts w:hint="eastAsia" w:ascii="宋体" w:hAnsi="宋体" w:eastAsia="宋体" w:cs="宋体"/>
                <w:szCs w:val="21"/>
              </w:rPr>
              <w:t>注：提供维保人员社保证明</w:t>
            </w:r>
          </w:p>
        </w:tc>
        <w:tc>
          <w:tcPr>
            <w:tcW w:w="543" w:type="pct"/>
          </w:tcPr>
          <w:p w14:paraId="405C6F65">
            <w:pPr>
              <w:spacing w:line="360" w:lineRule="auto"/>
              <w:rPr>
                <w:rFonts w:ascii="宋体" w:hAnsi="宋体" w:eastAsia="宋体" w:cs="宋体"/>
                <w:sz w:val="22"/>
              </w:rPr>
            </w:pPr>
          </w:p>
        </w:tc>
      </w:tr>
      <w:tr w14:paraId="013FF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256" w:type="pct"/>
            <w:vAlign w:val="center"/>
          </w:tcPr>
          <w:p w14:paraId="49BAE2D0">
            <w:pPr>
              <w:adjustRightInd w:val="0"/>
              <w:snapToGrid w:val="0"/>
              <w:jc w:val="center"/>
              <w:rPr>
                <w:rFonts w:ascii="宋体" w:hAnsi="宋体" w:eastAsia="宋体" w:cs="宋体"/>
                <w:szCs w:val="21"/>
              </w:rPr>
            </w:pPr>
            <w:r>
              <w:rPr>
                <w:rFonts w:hint="eastAsia" w:ascii="宋体" w:hAnsi="宋体" w:eastAsia="宋体" w:cs="宋体"/>
                <w:szCs w:val="21"/>
              </w:rPr>
              <w:t>16</w:t>
            </w:r>
          </w:p>
        </w:tc>
        <w:tc>
          <w:tcPr>
            <w:tcW w:w="419" w:type="pct"/>
            <w:vMerge w:val="continue"/>
            <w:vAlign w:val="center"/>
          </w:tcPr>
          <w:p w14:paraId="6314514F">
            <w:pPr>
              <w:rPr>
                <w:rFonts w:ascii="宋体" w:hAnsi="宋体" w:eastAsia="宋体" w:cs="宋体"/>
                <w:szCs w:val="21"/>
              </w:rPr>
            </w:pPr>
          </w:p>
        </w:tc>
        <w:tc>
          <w:tcPr>
            <w:tcW w:w="654" w:type="pct"/>
            <w:vAlign w:val="center"/>
          </w:tcPr>
          <w:p w14:paraId="0784A015">
            <w:pPr>
              <w:rPr>
                <w:rFonts w:ascii="宋体" w:hAnsi="宋体" w:eastAsia="宋体" w:cs="宋体"/>
                <w:szCs w:val="21"/>
              </w:rPr>
            </w:pPr>
            <w:r>
              <w:rPr>
                <w:rFonts w:hint="eastAsia" w:ascii="宋体" w:hAnsi="宋体" w:eastAsia="宋体" w:cs="宋体"/>
                <w:szCs w:val="21"/>
              </w:rPr>
              <w:t>紧急服务承诺</w:t>
            </w:r>
          </w:p>
        </w:tc>
        <w:tc>
          <w:tcPr>
            <w:tcW w:w="285" w:type="pct"/>
            <w:vAlign w:val="center"/>
          </w:tcPr>
          <w:p w14:paraId="51006B50">
            <w:pPr>
              <w:jc w:val="center"/>
              <w:rPr>
                <w:rFonts w:ascii="宋体" w:hAnsi="宋体" w:eastAsia="宋体" w:cs="宋体"/>
                <w:szCs w:val="21"/>
              </w:rPr>
            </w:pPr>
            <w:r>
              <w:rPr>
                <w:rFonts w:hint="eastAsia" w:ascii="宋体" w:hAnsi="宋体" w:eastAsia="宋体" w:cs="宋体"/>
                <w:szCs w:val="21"/>
              </w:rPr>
              <w:t>3</w:t>
            </w:r>
          </w:p>
        </w:tc>
        <w:tc>
          <w:tcPr>
            <w:tcW w:w="2840" w:type="pct"/>
          </w:tcPr>
          <w:p w14:paraId="24E82988">
            <w:pPr>
              <w:rPr>
                <w:rFonts w:ascii="宋体" w:hAnsi="宋体" w:eastAsia="宋体" w:cs="宋体"/>
                <w:szCs w:val="21"/>
              </w:rPr>
            </w:pPr>
            <w:r>
              <w:rPr>
                <w:rFonts w:hint="eastAsia" w:ascii="宋体" w:hAnsi="宋体" w:eastAsia="宋体" w:cs="宋体"/>
                <w:szCs w:val="21"/>
              </w:rPr>
              <w:t>在接到临时紧急通知后能按要求时间送到的承诺：承诺30分钟到达的得3分，承诺40分的得2分，承诺50分钟到达的得1分，1小时后不得分。</w:t>
            </w:r>
          </w:p>
          <w:p w14:paraId="425EDD81">
            <w:pPr>
              <w:rPr>
                <w:rFonts w:ascii="宋体" w:hAnsi="宋体" w:eastAsia="宋体" w:cs="宋体"/>
                <w:szCs w:val="21"/>
              </w:rPr>
            </w:pPr>
            <w:r>
              <w:rPr>
                <w:rFonts w:hint="eastAsia" w:ascii="宋体" w:hAnsi="宋体" w:eastAsia="宋体" w:cs="宋体"/>
                <w:szCs w:val="21"/>
              </w:rPr>
              <w:t>注：根据离采购人服务网点的实际响应时间进行承诺，提供百度、高德等导航截图（需符合所承诺时间），实际时间无法响应的距离，承诺为无效。无截图不得分。</w:t>
            </w:r>
          </w:p>
        </w:tc>
        <w:tc>
          <w:tcPr>
            <w:tcW w:w="543" w:type="pct"/>
          </w:tcPr>
          <w:p w14:paraId="5EF29F48">
            <w:pPr>
              <w:spacing w:line="360" w:lineRule="auto"/>
              <w:rPr>
                <w:rFonts w:ascii="宋体" w:hAnsi="宋体" w:eastAsia="宋体" w:cs="宋体"/>
                <w:sz w:val="22"/>
              </w:rPr>
            </w:pPr>
          </w:p>
        </w:tc>
      </w:tr>
      <w:tr w14:paraId="47E01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56" w:type="pct"/>
            <w:vAlign w:val="center"/>
          </w:tcPr>
          <w:p w14:paraId="09264D91">
            <w:pPr>
              <w:adjustRightInd w:val="0"/>
              <w:snapToGrid w:val="0"/>
              <w:jc w:val="center"/>
              <w:rPr>
                <w:rFonts w:ascii="宋体" w:hAnsi="宋体" w:eastAsia="宋体" w:cs="宋体"/>
                <w:szCs w:val="21"/>
              </w:rPr>
            </w:pPr>
            <w:r>
              <w:rPr>
                <w:rFonts w:hint="eastAsia" w:ascii="宋体" w:hAnsi="宋体" w:eastAsia="宋体" w:cs="宋体"/>
                <w:szCs w:val="21"/>
              </w:rPr>
              <w:t>17</w:t>
            </w:r>
          </w:p>
        </w:tc>
        <w:tc>
          <w:tcPr>
            <w:tcW w:w="419" w:type="pct"/>
            <w:vMerge w:val="continue"/>
            <w:vAlign w:val="center"/>
          </w:tcPr>
          <w:p w14:paraId="3DAA3B6C">
            <w:pPr>
              <w:rPr>
                <w:rFonts w:ascii="宋体" w:hAnsi="宋体" w:eastAsia="宋体" w:cs="宋体"/>
                <w:szCs w:val="21"/>
              </w:rPr>
            </w:pPr>
          </w:p>
        </w:tc>
        <w:tc>
          <w:tcPr>
            <w:tcW w:w="654" w:type="pct"/>
            <w:vAlign w:val="center"/>
          </w:tcPr>
          <w:p w14:paraId="64FAF99E">
            <w:pPr>
              <w:rPr>
                <w:rFonts w:ascii="宋体" w:hAnsi="宋体" w:eastAsia="宋体" w:cs="宋体"/>
                <w:szCs w:val="21"/>
              </w:rPr>
            </w:pPr>
            <w:r>
              <w:rPr>
                <w:rFonts w:hint="eastAsia" w:ascii="宋体" w:hAnsi="宋体" w:eastAsia="宋体" w:cs="宋体"/>
                <w:szCs w:val="21"/>
              </w:rPr>
              <w:t>清洁消毒</w:t>
            </w:r>
          </w:p>
        </w:tc>
        <w:tc>
          <w:tcPr>
            <w:tcW w:w="285" w:type="pct"/>
            <w:vAlign w:val="center"/>
          </w:tcPr>
          <w:p w14:paraId="3FE957AD">
            <w:pPr>
              <w:jc w:val="center"/>
              <w:rPr>
                <w:rFonts w:ascii="宋体" w:hAnsi="宋体" w:eastAsia="宋体" w:cs="宋体"/>
                <w:szCs w:val="21"/>
              </w:rPr>
            </w:pPr>
            <w:r>
              <w:rPr>
                <w:rFonts w:hint="eastAsia" w:ascii="宋体" w:hAnsi="宋体" w:eastAsia="宋体" w:cs="宋体"/>
                <w:szCs w:val="21"/>
              </w:rPr>
              <w:t>2</w:t>
            </w:r>
          </w:p>
        </w:tc>
        <w:tc>
          <w:tcPr>
            <w:tcW w:w="2840" w:type="pct"/>
          </w:tcPr>
          <w:p w14:paraId="24D33CD3">
            <w:pPr>
              <w:rPr>
                <w:rFonts w:ascii="宋体" w:hAnsi="宋体" w:eastAsia="宋体" w:cs="宋体"/>
                <w:szCs w:val="21"/>
              </w:rPr>
            </w:pPr>
            <w:r>
              <w:rPr>
                <w:rFonts w:hint="eastAsia" w:ascii="宋体" w:hAnsi="宋体" w:eastAsia="宋体" w:cs="宋体"/>
                <w:szCs w:val="21"/>
              </w:rPr>
              <w:t>由于医院的特殊性，必须规定时间内对设备和充电宝进行全部清洁和消毒，设立相关记录方案，进行打分，</w:t>
            </w:r>
            <w:r>
              <w:rPr>
                <w:rFonts w:ascii="宋体" w:hAnsi="宋体" w:eastAsia="宋体" w:cs="宋体"/>
                <w:szCs w:val="21"/>
              </w:rPr>
              <w:t>分值在</w:t>
            </w:r>
            <w:r>
              <w:rPr>
                <w:rFonts w:hint="eastAsia" w:ascii="宋体" w:hAnsi="宋体" w:eastAsia="宋体" w:cs="宋体"/>
                <w:szCs w:val="21"/>
              </w:rPr>
              <w:t>0-2</w:t>
            </w:r>
            <w:r>
              <w:rPr>
                <w:rFonts w:ascii="宋体" w:hAnsi="宋体" w:eastAsia="宋体" w:cs="宋体"/>
                <w:szCs w:val="21"/>
              </w:rPr>
              <w:t>分</w:t>
            </w:r>
            <w:r>
              <w:rPr>
                <w:rFonts w:hint="eastAsia" w:ascii="宋体" w:hAnsi="宋体" w:eastAsia="宋体" w:cs="宋体"/>
                <w:szCs w:val="21"/>
              </w:rPr>
              <w:t>。</w:t>
            </w:r>
          </w:p>
        </w:tc>
        <w:tc>
          <w:tcPr>
            <w:tcW w:w="543" w:type="pct"/>
          </w:tcPr>
          <w:p w14:paraId="507892F7">
            <w:pPr>
              <w:spacing w:line="360" w:lineRule="auto"/>
              <w:rPr>
                <w:rFonts w:ascii="宋体" w:hAnsi="宋体" w:eastAsia="宋体" w:cs="宋体"/>
                <w:sz w:val="22"/>
              </w:rPr>
            </w:pPr>
          </w:p>
        </w:tc>
      </w:tr>
      <w:bookmarkEnd w:id="0"/>
    </w:tbl>
    <w:p w14:paraId="7B8E0304">
      <w:pPr>
        <w:pStyle w:val="5"/>
        <w:spacing w:line="360" w:lineRule="auto"/>
      </w:pPr>
    </w:p>
    <w:p w14:paraId="0DAAD6C7">
      <w:pPr>
        <w:widowControl/>
        <w:jc w:val="left"/>
      </w:pPr>
      <w:r>
        <w:br w:type="page"/>
      </w:r>
    </w:p>
    <w:p w14:paraId="2822B1F3">
      <w:pPr>
        <w:pStyle w:val="9"/>
        <w:ind w:left="430" w:leftChars="205" w:firstLine="0" w:firstLineChars="0"/>
        <w:jc w:val="center"/>
        <w:outlineLvl w:val="0"/>
        <w:rPr>
          <w:rFonts w:ascii="宋体" w:hAnsi="宋体" w:eastAsia="宋体" w:cs="宋体"/>
          <w:b/>
          <w:sz w:val="36"/>
          <w:szCs w:val="36"/>
        </w:rPr>
      </w:pPr>
      <w:r>
        <w:rPr>
          <w:rFonts w:hint="eastAsia" w:ascii="宋体" w:hAnsi="宋体" w:eastAsia="宋体" w:cs="宋体"/>
          <w:b/>
          <w:sz w:val="36"/>
          <w:szCs w:val="36"/>
        </w:rPr>
        <w:t>合同主要条款（模板）</w:t>
      </w:r>
    </w:p>
    <w:p w14:paraId="6D4C6A9C">
      <w:pPr>
        <w:ind w:firstLine="590" w:firstLineChars="245"/>
        <w:rPr>
          <w:rFonts w:ascii="宋体" w:hAnsi="宋体" w:eastAsia="宋体" w:cs="宋体"/>
          <w:b/>
          <w:sz w:val="24"/>
          <w:szCs w:val="24"/>
        </w:rPr>
      </w:pPr>
      <w:r>
        <w:rPr>
          <w:rFonts w:hint="eastAsia" w:ascii="宋体" w:hAnsi="宋体" w:eastAsia="宋体" w:cs="宋体"/>
          <w:b/>
          <w:sz w:val="24"/>
          <w:szCs w:val="24"/>
        </w:rPr>
        <w:t>注：如甲、乙双方同意，合同格式也可以按照其他形式, 具体条款以甲方为主协商确定。但合同条款的基本内容应与以下要求的内容相一致。</w:t>
      </w:r>
    </w:p>
    <w:p w14:paraId="5774D878">
      <w:pPr>
        <w:ind w:firstLine="590" w:firstLineChars="245"/>
        <w:rPr>
          <w:rFonts w:ascii="宋体" w:hAnsi="宋体" w:eastAsia="宋体" w:cs="宋体"/>
          <w:b/>
          <w:sz w:val="24"/>
          <w:szCs w:val="24"/>
        </w:rPr>
      </w:pPr>
    </w:p>
    <w:p w14:paraId="019F5E11">
      <w:pPr>
        <w:tabs>
          <w:tab w:val="left" w:pos="5300"/>
          <w:tab w:val="left" w:pos="7140"/>
        </w:tabs>
        <w:snapToGrid w:val="0"/>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温州市人民医院                        </w:t>
      </w:r>
      <w:r>
        <w:rPr>
          <w:rFonts w:hint="eastAsia" w:ascii="宋体" w:hAnsi="宋体" w:eastAsia="宋体" w:cs="宋体"/>
          <w:sz w:val="24"/>
          <w:szCs w:val="24"/>
        </w:rPr>
        <w:t xml:space="preserve">  </w:t>
      </w:r>
    </w:p>
    <w:p w14:paraId="08E71EA3">
      <w:pPr>
        <w:tabs>
          <w:tab w:val="left" w:pos="5775"/>
          <w:tab w:val="left" w:pos="7140"/>
        </w:tabs>
        <w:snapToGrid w:val="0"/>
        <w:rPr>
          <w:rFonts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p>
    <w:p w14:paraId="3E9766A9">
      <w:pPr>
        <w:tabs>
          <w:tab w:val="left" w:pos="7140"/>
        </w:tabs>
        <w:snapToGrid w:val="0"/>
        <w:ind w:firstLine="480"/>
        <w:rPr>
          <w:rFonts w:ascii="宋体" w:hAnsi="宋体" w:eastAsia="宋体" w:cs="宋体"/>
          <w:sz w:val="24"/>
          <w:szCs w:val="24"/>
        </w:rPr>
      </w:pPr>
    </w:p>
    <w:p w14:paraId="2E33EF7F">
      <w:pPr>
        <w:tabs>
          <w:tab w:val="left" w:pos="7140"/>
        </w:tabs>
        <w:snapToGrid w:val="0"/>
        <w:spacing w:before="120"/>
        <w:ind w:firstLine="480"/>
        <w:rPr>
          <w:rFonts w:ascii="宋体" w:hAnsi="宋体" w:eastAsia="宋体" w:cs="宋体"/>
          <w:sz w:val="24"/>
          <w:szCs w:val="24"/>
        </w:rPr>
      </w:pPr>
      <w:r>
        <w:rPr>
          <w:rFonts w:hint="eastAsia" w:ascii="宋体" w:hAnsi="宋体" w:eastAsia="宋体" w:cs="宋体"/>
          <w:sz w:val="24"/>
          <w:szCs w:val="24"/>
        </w:rPr>
        <w:t>甲乙双方根据《中华人民共和国政府采购法》、《中华人民共和国合同法》等相关法律和招标结果规定，经友好协商，签订本合同。</w:t>
      </w:r>
    </w:p>
    <w:p w14:paraId="03D5E327">
      <w:pPr>
        <w:numPr>
          <w:ilvl w:val="0"/>
          <w:numId w:val="2"/>
        </w:numPr>
        <w:tabs>
          <w:tab w:val="left" w:pos="7140"/>
        </w:tabs>
        <w:snapToGrid w:val="0"/>
        <w:spacing w:before="120"/>
        <w:rPr>
          <w:rFonts w:ascii="宋体" w:hAnsi="宋体" w:eastAsia="宋体" w:cs="宋体"/>
          <w:bCs/>
          <w:sz w:val="24"/>
          <w:szCs w:val="24"/>
        </w:rPr>
      </w:pPr>
      <w:r>
        <w:rPr>
          <w:rFonts w:hint="eastAsia" w:ascii="宋体" w:hAnsi="宋体" w:eastAsia="宋体" w:cs="宋体"/>
          <w:bCs/>
          <w:sz w:val="24"/>
          <w:szCs w:val="24"/>
        </w:rPr>
        <w:t>合同内容：</w:t>
      </w:r>
    </w:p>
    <w:p w14:paraId="151383A1">
      <w:pPr>
        <w:spacing w:before="120"/>
        <w:ind w:firstLine="480" w:firstLineChars="200"/>
        <w:rPr>
          <w:rFonts w:ascii="宋体" w:hAnsi="宋体" w:eastAsia="宋体" w:cs="宋体"/>
          <w:sz w:val="24"/>
          <w:szCs w:val="24"/>
        </w:rPr>
      </w:pPr>
      <w:r>
        <w:rPr>
          <w:rFonts w:hint="eastAsia" w:ascii="宋体" w:hAnsi="宋体" w:eastAsia="宋体" w:cs="宋体"/>
          <w:sz w:val="24"/>
          <w:szCs w:val="24"/>
        </w:rPr>
        <w:t>温州市人民医院信河院区（鹿城区仓后街57号）、娄桥院区（瓯海区古岸路299号）、温州市体检中心（瓯海区温州大道1679号）三处地点需放置共享充电宝，计划投放数量、类型如下表，实际根据甲方需求随时增减。</w:t>
      </w:r>
    </w:p>
    <w:tbl>
      <w:tblPr>
        <w:tblStyle w:val="15"/>
        <w:tblW w:w="8822" w:type="dxa"/>
        <w:jc w:val="center"/>
        <w:tblLayout w:type="fixed"/>
        <w:tblCellMar>
          <w:top w:w="0" w:type="dxa"/>
          <w:left w:w="108" w:type="dxa"/>
          <w:bottom w:w="0" w:type="dxa"/>
          <w:right w:w="108" w:type="dxa"/>
        </w:tblCellMar>
      </w:tblPr>
      <w:tblGrid>
        <w:gridCol w:w="2604"/>
        <w:gridCol w:w="1036"/>
        <w:gridCol w:w="3135"/>
        <w:gridCol w:w="2047"/>
      </w:tblGrid>
      <w:tr w14:paraId="41CE92F8">
        <w:tblPrEx>
          <w:tblCellMar>
            <w:top w:w="0" w:type="dxa"/>
            <w:left w:w="108" w:type="dxa"/>
            <w:bottom w:w="0" w:type="dxa"/>
            <w:right w:w="108" w:type="dxa"/>
          </w:tblCellMar>
        </w:tblPrEx>
        <w:trPr>
          <w:trHeight w:val="360" w:hRule="atLeast"/>
          <w:jc w:val="center"/>
        </w:trPr>
        <w:tc>
          <w:tcPr>
            <w:tcW w:w="2604" w:type="dxa"/>
            <w:tcBorders>
              <w:top w:val="single" w:color="000000" w:sz="4" w:space="0"/>
              <w:left w:val="single" w:color="000000" w:sz="4" w:space="0"/>
              <w:bottom w:val="single" w:color="000000" w:sz="4" w:space="0"/>
              <w:right w:val="single" w:color="000000" w:sz="4" w:space="0"/>
            </w:tcBorders>
            <w:noWrap/>
            <w:vAlign w:val="center"/>
          </w:tcPr>
          <w:p w14:paraId="7017EA24">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所在院区</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2ADA654F">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数量</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4B466199">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设备类型</w:t>
            </w:r>
          </w:p>
        </w:tc>
        <w:tc>
          <w:tcPr>
            <w:tcW w:w="2047" w:type="dxa"/>
            <w:tcBorders>
              <w:top w:val="single" w:color="000000" w:sz="4" w:space="0"/>
              <w:left w:val="single" w:color="000000" w:sz="4" w:space="0"/>
              <w:bottom w:val="single" w:color="000000" w:sz="4" w:space="0"/>
              <w:right w:val="single" w:color="000000" w:sz="4" w:space="0"/>
            </w:tcBorders>
            <w:noWrap/>
            <w:vAlign w:val="center"/>
          </w:tcPr>
          <w:p w14:paraId="45C63545">
            <w:pPr>
              <w:widowControl/>
              <w:spacing w:before="120"/>
              <w:jc w:val="center"/>
              <w:textAlignment w:val="center"/>
              <w:rPr>
                <w:rFonts w:ascii="宋体" w:hAnsi="宋体" w:eastAsia="宋体" w:cs="宋体"/>
                <w:sz w:val="24"/>
                <w:szCs w:val="24"/>
              </w:rPr>
            </w:pPr>
            <w:r>
              <w:rPr>
                <w:rFonts w:hint="eastAsia" w:ascii="宋体" w:hAnsi="宋体" w:eastAsia="宋体" w:cs="宋体"/>
                <w:sz w:val="24"/>
                <w:szCs w:val="24"/>
              </w:rPr>
              <w:t>备注</w:t>
            </w:r>
          </w:p>
        </w:tc>
      </w:tr>
      <w:tr w14:paraId="5DA8D73B">
        <w:tblPrEx>
          <w:tblCellMar>
            <w:top w:w="0" w:type="dxa"/>
            <w:left w:w="108" w:type="dxa"/>
            <w:bottom w:w="0" w:type="dxa"/>
            <w:right w:w="108" w:type="dxa"/>
          </w:tblCellMar>
        </w:tblPrEx>
        <w:trPr>
          <w:trHeight w:val="400" w:hRule="atLeast"/>
          <w:jc w:val="center"/>
        </w:trPr>
        <w:tc>
          <w:tcPr>
            <w:tcW w:w="2604" w:type="dxa"/>
            <w:vMerge w:val="restart"/>
            <w:tcBorders>
              <w:top w:val="single" w:color="000000" w:sz="4" w:space="0"/>
              <w:left w:val="single" w:color="000000" w:sz="4" w:space="0"/>
              <w:right w:val="single" w:color="000000" w:sz="4" w:space="0"/>
            </w:tcBorders>
            <w:noWrap/>
            <w:vAlign w:val="center"/>
          </w:tcPr>
          <w:p w14:paraId="76D82D0E">
            <w:pPr>
              <w:widowControl/>
              <w:spacing w:before="120"/>
              <w:jc w:val="center"/>
              <w:textAlignment w:val="center"/>
              <w:rPr>
                <w:rFonts w:ascii="宋体" w:hAnsi="宋体" w:eastAsia="宋体" w:cs="宋体"/>
                <w:sz w:val="24"/>
                <w:szCs w:val="24"/>
              </w:rPr>
            </w:pPr>
            <w:r>
              <w:rPr>
                <w:rFonts w:hint="eastAsia" w:ascii="宋体" w:hAnsi="宋体" w:eastAsia="宋体" w:cs="宋体"/>
                <w:sz w:val="24"/>
                <w:szCs w:val="24"/>
              </w:rPr>
              <w:t>信河院区</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3D8A4717">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517BE054">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20-24孔设备(立式)</w:t>
            </w:r>
          </w:p>
        </w:tc>
        <w:tc>
          <w:tcPr>
            <w:tcW w:w="2047" w:type="dxa"/>
            <w:tcBorders>
              <w:top w:val="single" w:color="000000" w:sz="4" w:space="0"/>
              <w:left w:val="single" w:color="000000" w:sz="4" w:space="0"/>
              <w:bottom w:val="single" w:color="000000" w:sz="4" w:space="0"/>
              <w:right w:val="single" w:color="000000" w:sz="4" w:space="0"/>
            </w:tcBorders>
            <w:noWrap/>
            <w:vAlign w:val="center"/>
          </w:tcPr>
          <w:p w14:paraId="2AB1BD7F">
            <w:pPr>
              <w:widowControl/>
              <w:spacing w:before="120"/>
              <w:jc w:val="center"/>
              <w:textAlignment w:val="center"/>
              <w:rPr>
                <w:rFonts w:ascii="宋体" w:hAnsi="宋体" w:eastAsia="宋体" w:cs="宋体"/>
                <w:sz w:val="24"/>
                <w:szCs w:val="24"/>
              </w:rPr>
            </w:pPr>
          </w:p>
        </w:tc>
      </w:tr>
      <w:tr w14:paraId="49A6A1D0">
        <w:tblPrEx>
          <w:tblCellMar>
            <w:top w:w="0" w:type="dxa"/>
            <w:left w:w="108" w:type="dxa"/>
            <w:bottom w:w="0" w:type="dxa"/>
            <w:right w:w="108" w:type="dxa"/>
          </w:tblCellMar>
        </w:tblPrEx>
        <w:trPr>
          <w:trHeight w:val="400" w:hRule="atLeast"/>
          <w:jc w:val="center"/>
        </w:trPr>
        <w:tc>
          <w:tcPr>
            <w:tcW w:w="2604" w:type="dxa"/>
            <w:vMerge w:val="continue"/>
            <w:tcBorders>
              <w:left w:val="single" w:color="000000" w:sz="4" w:space="0"/>
              <w:right w:val="single" w:color="000000" w:sz="4" w:space="0"/>
            </w:tcBorders>
            <w:noWrap/>
            <w:vAlign w:val="center"/>
          </w:tcPr>
          <w:p w14:paraId="57AC1817">
            <w:pPr>
              <w:widowControl/>
              <w:spacing w:before="120"/>
              <w:jc w:val="center"/>
              <w:textAlignment w:val="center"/>
              <w:rPr>
                <w:rFonts w:ascii="宋体" w:hAnsi="宋体" w:eastAsia="宋体" w:cs="宋体"/>
                <w:sz w:val="24"/>
                <w:szCs w:val="24"/>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7D476AB4">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6379478E">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10-15孔设备(立式)</w:t>
            </w:r>
          </w:p>
        </w:tc>
        <w:tc>
          <w:tcPr>
            <w:tcW w:w="2047" w:type="dxa"/>
            <w:tcBorders>
              <w:top w:val="single" w:color="000000" w:sz="4" w:space="0"/>
              <w:left w:val="single" w:color="000000" w:sz="4" w:space="0"/>
              <w:bottom w:val="single" w:color="000000" w:sz="4" w:space="0"/>
              <w:right w:val="single" w:color="000000" w:sz="4" w:space="0"/>
            </w:tcBorders>
            <w:noWrap/>
            <w:vAlign w:val="center"/>
          </w:tcPr>
          <w:p w14:paraId="220556D0">
            <w:pPr>
              <w:widowControl/>
              <w:spacing w:before="120"/>
              <w:jc w:val="center"/>
              <w:textAlignment w:val="center"/>
              <w:rPr>
                <w:rFonts w:ascii="宋体" w:hAnsi="宋体" w:eastAsia="宋体" w:cs="宋体"/>
                <w:sz w:val="24"/>
                <w:szCs w:val="24"/>
              </w:rPr>
            </w:pPr>
          </w:p>
        </w:tc>
      </w:tr>
      <w:tr w14:paraId="6A27ABA1">
        <w:tblPrEx>
          <w:tblCellMar>
            <w:top w:w="0" w:type="dxa"/>
            <w:left w:w="108" w:type="dxa"/>
            <w:bottom w:w="0" w:type="dxa"/>
            <w:right w:w="108" w:type="dxa"/>
          </w:tblCellMar>
        </w:tblPrEx>
        <w:trPr>
          <w:trHeight w:val="400" w:hRule="atLeast"/>
          <w:jc w:val="center"/>
        </w:trPr>
        <w:tc>
          <w:tcPr>
            <w:tcW w:w="2604" w:type="dxa"/>
            <w:vMerge w:val="continue"/>
            <w:tcBorders>
              <w:left w:val="single" w:color="000000" w:sz="4" w:space="0"/>
              <w:right w:val="single" w:color="000000" w:sz="4" w:space="0"/>
            </w:tcBorders>
            <w:noWrap/>
            <w:vAlign w:val="center"/>
          </w:tcPr>
          <w:p w14:paraId="7C02D5A1">
            <w:pPr>
              <w:widowControl/>
              <w:spacing w:before="120"/>
              <w:jc w:val="center"/>
              <w:textAlignment w:val="center"/>
              <w:rPr>
                <w:rFonts w:ascii="宋体" w:hAnsi="宋体" w:eastAsia="宋体" w:cs="宋体"/>
                <w:sz w:val="24"/>
                <w:szCs w:val="24"/>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1EEF9D84">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184421A0">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6-8孔设备(台式)</w:t>
            </w:r>
          </w:p>
        </w:tc>
        <w:tc>
          <w:tcPr>
            <w:tcW w:w="2047" w:type="dxa"/>
            <w:tcBorders>
              <w:top w:val="single" w:color="000000" w:sz="4" w:space="0"/>
              <w:left w:val="single" w:color="000000" w:sz="4" w:space="0"/>
              <w:bottom w:val="single" w:color="000000" w:sz="4" w:space="0"/>
              <w:right w:val="single" w:color="000000" w:sz="4" w:space="0"/>
            </w:tcBorders>
            <w:noWrap/>
            <w:vAlign w:val="center"/>
          </w:tcPr>
          <w:p w14:paraId="46A49996">
            <w:pPr>
              <w:widowControl/>
              <w:spacing w:before="120"/>
              <w:jc w:val="center"/>
              <w:textAlignment w:val="center"/>
              <w:rPr>
                <w:rFonts w:ascii="宋体" w:hAnsi="宋体" w:eastAsia="宋体" w:cs="宋体"/>
                <w:sz w:val="24"/>
                <w:szCs w:val="24"/>
              </w:rPr>
            </w:pPr>
          </w:p>
        </w:tc>
      </w:tr>
      <w:tr w14:paraId="18C08882">
        <w:tblPrEx>
          <w:tblCellMar>
            <w:top w:w="0" w:type="dxa"/>
            <w:left w:w="108" w:type="dxa"/>
            <w:bottom w:w="0" w:type="dxa"/>
            <w:right w:w="108" w:type="dxa"/>
          </w:tblCellMar>
        </w:tblPrEx>
        <w:trPr>
          <w:trHeight w:val="400" w:hRule="atLeast"/>
          <w:jc w:val="center"/>
        </w:trPr>
        <w:tc>
          <w:tcPr>
            <w:tcW w:w="2604" w:type="dxa"/>
            <w:vMerge w:val="continue"/>
            <w:tcBorders>
              <w:left w:val="single" w:color="000000" w:sz="4" w:space="0"/>
              <w:bottom w:val="single" w:color="000000" w:sz="4" w:space="0"/>
              <w:right w:val="single" w:color="000000" w:sz="4" w:space="0"/>
            </w:tcBorders>
            <w:noWrap/>
            <w:vAlign w:val="center"/>
          </w:tcPr>
          <w:p w14:paraId="686F6673">
            <w:pPr>
              <w:widowControl/>
              <w:spacing w:before="120"/>
              <w:jc w:val="center"/>
              <w:textAlignment w:val="center"/>
              <w:rPr>
                <w:rFonts w:ascii="宋体" w:hAnsi="宋体" w:eastAsia="宋体" w:cs="宋体"/>
                <w:sz w:val="24"/>
                <w:szCs w:val="24"/>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3D0842BD">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36AC8A98">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6-8孔设备(立式)</w:t>
            </w:r>
          </w:p>
        </w:tc>
        <w:tc>
          <w:tcPr>
            <w:tcW w:w="2047" w:type="dxa"/>
            <w:tcBorders>
              <w:top w:val="single" w:color="000000" w:sz="4" w:space="0"/>
              <w:left w:val="single" w:color="000000" w:sz="4" w:space="0"/>
              <w:bottom w:val="single" w:color="000000" w:sz="4" w:space="0"/>
              <w:right w:val="single" w:color="000000" w:sz="4" w:space="0"/>
            </w:tcBorders>
            <w:noWrap/>
            <w:vAlign w:val="center"/>
          </w:tcPr>
          <w:p w14:paraId="3052C9D6">
            <w:pPr>
              <w:widowControl/>
              <w:spacing w:before="120"/>
              <w:jc w:val="center"/>
              <w:textAlignment w:val="center"/>
              <w:rPr>
                <w:rFonts w:ascii="宋体" w:hAnsi="宋体" w:eastAsia="宋体" w:cs="宋体"/>
                <w:sz w:val="24"/>
                <w:szCs w:val="24"/>
              </w:rPr>
            </w:pPr>
          </w:p>
        </w:tc>
      </w:tr>
      <w:tr w14:paraId="45EB3320">
        <w:tblPrEx>
          <w:tblCellMar>
            <w:top w:w="0" w:type="dxa"/>
            <w:left w:w="108" w:type="dxa"/>
            <w:bottom w:w="0" w:type="dxa"/>
            <w:right w:w="108" w:type="dxa"/>
          </w:tblCellMar>
        </w:tblPrEx>
        <w:trPr>
          <w:trHeight w:val="400" w:hRule="atLeast"/>
          <w:jc w:val="center"/>
        </w:trPr>
        <w:tc>
          <w:tcPr>
            <w:tcW w:w="2604" w:type="dxa"/>
            <w:vMerge w:val="restart"/>
            <w:tcBorders>
              <w:top w:val="single" w:color="000000" w:sz="4" w:space="0"/>
              <w:left w:val="single" w:color="000000" w:sz="4" w:space="0"/>
              <w:right w:val="single" w:color="000000" w:sz="4" w:space="0"/>
            </w:tcBorders>
            <w:noWrap/>
            <w:vAlign w:val="center"/>
          </w:tcPr>
          <w:p w14:paraId="41B4E461">
            <w:pPr>
              <w:widowControl/>
              <w:spacing w:before="120"/>
              <w:jc w:val="center"/>
              <w:textAlignment w:val="center"/>
              <w:rPr>
                <w:rFonts w:ascii="宋体" w:hAnsi="宋体" w:eastAsia="宋体" w:cs="宋体"/>
                <w:sz w:val="24"/>
                <w:szCs w:val="24"/>
              </w:rPr>
            </w:pPr>
            <w:r>
              <w:rPr>
                <w:rFonts w:hint="eastAsia" w:ascii="宋体" w:hAnsi="宋体" w:eastAsia="宋体" w:cs="宋体"/>
                <w:sz w:val="24"/>
                <w:szCs w:val="24"/>
              </w:rPr>
              <w:t>娄桥院区</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3CB1E150">
            <w:pPr>
              <w:widowControl/>
              <w:spacing w:before="120"/>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127351F2">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20-24孔设备(立式)</w:t>
            </w:r>
          </w:p>
        </w:tc>
        <w:tc>
          <w:tcPr>
            <w:tcW w:w="2047" w:type="dxa"/>
            <w:tcBorders>
              <w:top w:val="single" w:color="000000" w:sz="4" w:space="0"/>
              <w:left w:val="single" w:color="000000" w:sz="4" w:space="0"/>
              <w:bottom w:val="single" w:color="000000" w:sz="4" w:space="0"/>
              <w:right w:val="single" w:color="000000" w:sz="4" w:space="0"/>
            </w:tcBorders>
            <w:noWrap/>
            <w:vAlign w:val="center"/>
          </w:tcPr>
          <w:p w14:paraId="02BB26DD">
            <w:pPr>
              <w:widowControl/>
              <w:spacing w:before="120"/>
              <w:jc w:val="center"/>
              <w:textAlignment w:val="center"/>
              <w:rPr>
                <w:rFonts w:ascii="宋体" w:hAnsi="宋体" w:eastAsia="宋体" w:cs="宋体"/>
                <w:sz w:val="24"/>
                <w:szCs w:val="24"/>
              </w:rPr>
            </w:pPr>
          </w:p>
        </w:tc>
      </w:tr>
      <w:tr w14:paraId="602B0556">
        <w:tblPrEx>
          <w:tblCellMar>
            <w:top w:w="0" w:type="dxa"/>
            <w:left w:w="108" w:type="dxa"/>
            <w:bottom w:w="0" w:type="dxa"/>
            <w:right w:w="108" w:type="dxa"/>
          </w:tblCellMar>
        </w:tblPrEx>
        <w:trPr>
          <w:trHeight w:val="400" w:hRule="atLeast"/>
          <w:jc w:val="center"/>
        </w:trPr>
        <w:tc>
          <w:tcPr>
            <w:tcW w:w="2604" w:type="dxa"/>
            <w:vMerge w:val="continue"/>
            <w:tcBorders>
              <w:left w:val="single" w:color="000000" w:sz="4" w:space="0"/>
              <w:right w:val="single" w:color="000000" w:sz="4" w:space="0"/>
            </w:tcBorders>
            <w:noWrap/>
            <w:vAlign w:val="center"/>
          </w:tcPr>
          <w:p w14:paraId="20DCB7AD">
            <w:pPr>
              <w:widowControl/>
              <w:spacing w:before="120"/>
              <w:jc w:val="center"/>
              <w:textAlignment w:val="center"/>
              <w:rPr>
                <w:rFonts w:ascii="宋体" w:hAnsi="宋体" w:eastAsia="宋体" w:cs="宋体"/>
                <w:sz w:val="24"/>
                <w:szCs w:val="24"/>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11F109F7">
            <w:pPr>
              <w:widowControl/>
              <w:spacing w:before="120"/>
              <w:jc w:val="center"/>
              <w:textAlignment w:val="center"/>
              <w:rPr>
                <w:rFonts w:ascii="宋体" w:hAnsi="宋体" w:eastAsia="宋体" w:cs="宋体"/>
                <w:sz w:val="24"/>
                <w:szCs w:val="24"/>
              </w:rPr>
            </w:pPr>
            <w:r>
              <w:rPr>
                <w:rFonts w:hint="eastAsia" w:ascii="宋体" w:hAnsi="宋体" w:eastAsia="宋体" w:cs="宋体"/>
                <w:sz w:val="24"/>
                <w:szCs w:val="24"/>
              </w:rPr>
              <w:t>5</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03181346">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10-15孔设备(立式)</w:t>
            </w:r>
          </w:p>
        </w:tc>
        <w:tc>
          <w:tcPr>
            <w:tcW w:w="2047" w:type="dxa"/>
            <w:tcBorders>
              <w:top w:val="single" w:color="000000" w:sz="4" w:space="0"/>
              <w:left w:val="single" w:color="000000" w:sz="4" w:space="0"/>
              <w:bottom w:val="single" w:color="000000" w:sz="4" w:space="0"/>
              <w:right w:val="single" w:color="000000" w:sz="4" w:space="0"/>
            </w:tcBorders>
            <w:noWrap/>
            <w:vAlign w:val="center"/>
          </w:tcPr>
          <w:p w14:paraId="73025C23">
            <w:pPr>
              <w:widowControl/>
              <w:spacing w:before="120"/>
              <w:jc w:val="center"/>
              <w:textAlignment w:val="center"/>
              <w:rPr>
                <w:rFonts w:ascii="宋体" w:hAnsi="宋体" w:eastAsia="宋体" w:cs="宋体"/>
                <w:sz w:val="24"/>
                <w:szCs w:val="24"/>
              </w:rPr>
            </w:pPr>
          </w:p>
        </w:tc>
      </w:tr>
      <w:tr w14:paraId="47000CDC">
        <w:tblPrEx>
          <w:tblCellMar>
            <w:top w:w="0" w:type="dxa"/>
            <w:left w:w="108" w:type="dxa"/>
            <w:bottom w:w="0" w:type="dxa"/>
            <w:right w:w="108" w:type="dxa"/>
          </w:tblCellMar>
        </w:tblPrEx>
        <w:trPr>
          <w:trHeight w:val="400" w:hRule="atLeast"/>
          <w:jc w:val="center"/>
        </w:trPr>
        <w:tc>
          <w:tcPr>
            <w:tcW w:w="2604" w:type="dxa"/>
            <w:vMerge w:val="continue"/>
            <w:tcBorders>
              <w:left w:val="single" w:color="000000" w:sz="4" w:space="0"/>
              <w:right w:val="single" w:color="000000" w:sz="4" w:space="0"/>
            </w:tcBorders>
            <w:noWrap/>
            <w:vAlign w:val="center"/>
          </w:tcPr>
          <w:p w14:paraId="76AA0264">
            <w:pPr>
              <w:widowControl/>
              <w:spacing w:before="120"/>
              <w:jc w:val="center"/>
              <w:textAlignment w:val="center"/>
              <w:rPr>
                <w:rFonts w:ascii="宋体" w:hAnsi="宋体" w:eastAsia="宋体" w:cs="宋体"/>
                <w:sz w:val="24"/>
                <w:szCs w:val="24"/>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0CBAB4EA">
            <w:pPr>
              <w:widowControl/>
              <w:spacing w:before="120"/>
              <w:jc w:val="center"/>
              <w:textAlignment w:val="center"/>
              <w:rPr>
                <w:rFonts w:ascii="宋体" w:hAnsi="宋体" w:eastAsia="宋体" w:cs="宋体"/>
                <w:sz w:val="24"/>
                <w:szCs w:val="24"/>
              </w:rPr>
            </w:pPr>
            <w:r>
              <w:rPr>
                <w:rFonts w:hint="eastAsia" w:ascii="宋体" w:hAnsi="宋体" w:eastAsia="宋体" w:cs="宋体"/>
                <w:sz w:val="24"/>
                <w:szCs w:val="24"/>
              </w:rPr>
              <w:t>20</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6EC54FFB">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6-8孔设备(台式)</w:t>
            </w:r>
          </w:p>
        </w:tc>
        <w:tc>
          <w:tcPr>
            <w:tcW w:w="2047" w:type="dxa"/>
            <w:tcBorders>
              <w:top w:val="single" w:color="000000" w:sz="4" w:space="0"/>
              <w:left w:val="single" w:color="000000" w:sz="4" w:space="0"/>
              <w:bottom w:val="single" w:color="000000" w:sz="4" w:space="0"/>
              <w:right w:val="single" w:color="000000" w:sz="4" w:space="0"/>
            </w:tcBorders>
            <w:noWrap/>
            <w:vAlign w:val="center"/>
          </w:tcPr>
          <w:p w14:paraId="532E56FE">
            <w:pPr>
              <w:widowControl/>
              <w:spacing w:before="120"/>
              <w:jc w:val="center"/>
              <w:textAlignment w:val="center"/>
              <w:rPr>
                <w:rFonts w:ascii="宋体" w:hAnsi="宋体" w:eastAsia="宋体" w:cs="宋体"/>
                <w:sz w:val="24"/>
                <w:szCs w:val="24"/>
              </w:rPr>
            </w:pPr>
          </w:p>
        </w:tc>
      </w:tr>
      <w:tr w14:paraId="450DA07A">
        <w:tblPrEx>
          <w:tblCellMar>
            <w:top w:w="0" w:type="dxa"/>
            <w:left w:w="108" w:type="dxa"/>
            <w:bottom w:w="0" w:type="dxa"/>
            <w:right w:w="108" w:type="dxa"/>
          </w:tblCellMar>
        </w:tblPrEx>
        <w:trPr>
          <w:trHeight w:val="400" w:hRule="atLeast"/>
          <w:jc w:val="center"/>
        </w:trPr>
        <w:tc>
          <w:tcPr>
            <w:tcW w:w="2604" w:type="dxa"/>
            <w:vMerge w:val="continue"/>
            <w:tcBorders>
              <w:left w:val="single" w:color="000000" w:sz="4" w:space="0"/>
              <w:bottom w:val="single" w:color="000000" w:sz="4" w:space="0"/>
              <w:right w:val="single" w:color="000000" w:sz="4" w:space="0"/>
            </w:tcBorders>
            <w:noWrap/>
            <w:vAlign w:val="center"/>
          </w:tcPr>
          <w:p w14:paraId="50F7F8C0">
            <w:pPr>
              <w:widowControl/>
              <w:spacing w:before="120"/>
              <w:jc w:val="center"/>
              <w:textAlignment w:val="center"/>
              <w:rPr>
                <w:rFonts w:ascii="宋体" w:hAnsi="宋体" w:eastAsia="宋体" w:cs="宋体"/>
                <w:sz w:val="24"/>
                <w:szCs w:val="24"/>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159FA011">
            <w:pPr>
              <w:widowControl/>
              <w:spacing w:before="120"/>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4238DF3C">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6-8孔设备(立式)</w:t>
            </w:r>
          </w:p>
        </w:tc>
        <w:tc>
          <w:tcPr>
            <w:tcW w:w="2047" w:type="dxa"/>
            <w:tcBorders>
              <w:top w:val="single" w:color="000000" w:sz="4" w:space="0"/>
              <w:left w:val="single" w:color="000000" w:sz="4" w:space="0"/>
              <w:bottom w:val="single" w:color="000000" w:sz="4" w:space="0"/>
              <w:right w:val="single" w:color="000000" w:sz="4" w:space="0"/>
            </w:tcBorders>
            <w:noWrap/>
            <w:vAlign w:val="center"/>
          </w:tcPr>
          <w:p w14:paraId="369EEC12">
            <w:pPr>
              <w:widowControl/>
              <w:spacing w:before="120"/>
              <w:jc w:val="center"/>
              <w:textAlignment w:val="center"/>
              <w:rPr>
                <w:rFonts w:ascii="宋体" w:hAnsi="宋体" w:eastAsia="宋体" w:cs="宋体"/>
                <w:sz w:val="24"/>
                <w:szCs w:val="24"/>
              </w:rPr>
            </w:pPr>
          </w:p>
        </w:tc>
      </w:tr>
      <w:tr w14:paraId="5BBE00CB">
        <w:tblPrEx>
          <w:tblCellMar>
            <w:top w:w="0" w:type="dxa"/>
            <w:left w:w="108" w:type="dxa"/>
            <w:bottom w:w="0" w:type="dxa"/>
            <w:right w:w="108" w:type="dxa"/>
          </w:tblCellMar>
        </w:tblPrEx>
        <w:trPr>
          <w:trHeight w:val="400" w:hRule="atLeast"/>
          <w:jc w:val="center"/>
        </w:trPr>
        <w:tc>
          <w:tcPr>
            <w:tcW w:w="2604" w:type="dxa"/>
            <w:tcBorders>
              <w:top w:val="single" w:color="000000" w:sz="4" w:space="0"/>
              <w:left w:val="single" w:color="000000" w:sz="4" w:space="0"/>
              <w:bottom w:val="single" w:color="000000" w:sz="4" w:space="0"/>
              <w:right w:val="single" w:color="000000" w:sz="4" w:space="0"/>
            </w:tcBorders>
            <w:noWrap/>
            <w:vAlign w:val="center"/>
          </w:tcPr>
          <w:p w14:paraId="7E1A19E5">
            <w:pPr>
              <w:widowControl/>
              <w:spacing w:before="120"/>
              <w:jc w:val="center"/>
              <w:textAlignment w:val="center"/>
              <w:rPr>
                <w:rFonts w:ascii="宋体" w:hAnsi="宋体" w:eastAsia="宋体" w:cs="宋体"/>
                <w:sz w:val="24"/>
                <w:szCs w:val="24"/>
              </w:rPr>
            </w:pPr>
            <w:r>
              <w:rPr>
                <w:rFonts w:hint="eastAsia" w:ascii="宋体" w:hAnsi="宋体" w:eastAsia="宋体" w:cs="宋体"/>
                <w:sz w:val="24"/>
                <w:szCs w:val="24"/>
              </w:rPr>
              <w:t>体检中心</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0D5FB6B8">
            <w:pPr>
              <w:widowControl/>
              <w:spacing w:before="120"/>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491DA174">
            <w:pPr>
              <w:widowControl/>
              <w:spacing w:before="120"/>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20-24孔设备(立式)</w:t>
            </w:r>
          </w:p>
        </w:tc>
        <w:tc>
          <w:tcPr>
            <w:tcW w:w="2047" w:type="dxa"/>
            <w:tcBorders>
              <w:top w:val="single" w:color="000000" w:sz="4" w:space="0"/>
              <w:left w:val="single" w:color="000000" w:sz="4" w:space="0"/>
              <w:bottom w:val="single" w:color="000000" w:sz="4" w:space="0"/>
              <w:right w:val="single" w:color="000000" w:sz="4" w:space="0"/>
            </w:tcBorders>
            <w:noWrap/>
            <w:vAlign w:val="center"/>
          </w:tcPr>
          <w:p w14:paraId="1CA4CB6B">
            <w:pPr>
              <w:widowControl/>
              <w:spacing w:before="120"/>
              <w:jc w:val="center"/>
              <w:textAlignment w:val="center"/>
              <w:rPr>
                <w:rFonts w:ascii="宋体" w:hAnsi="宋体" w:eastAsia="宋体" w:cs="宋体"/>
                <w:sz w:val="24"/>
                <w:szCs w:val="24"/>
              </w:rPr>
            </w:pPr>
          </w:p>
        </w:tc>
      </w:tr>
      <w:tr w14:paraId="7C3DEFD9">
        <w:tblPrEx>
          <w:tblCellMar>
            <w:top w:w="0" w:type="dxa"/>
            <w:left w:w="108" w:type="dxa"/>
            <w:bottom w:w="0" w:type="dxa"/>
            <w:right w:w="108" w:type="dxa"/>
          </w:tblCellMar>
        </w:tblPrEx>
        <w:trPr>
          <w:trHeight w:val="400" w:hRule="atLeast"/>
          <w:jc w:val="center"/>
        </w:trPr>
        <w:tc>
          <w:tcPr>
            <w:tcW w:w="2604" w:type="dxa"/>
            <w:tcBorders>
              <w:top w:val="single" w:color="000000" w:sz="4" w:space="0"/>
              <w:left w:val="single" w:color="000000" w:sz="4" w:space="0"/>
              <w:bottom w:val="single" w:color="000000" w:sz="4" w:space="0"/>
              <w:right w:val="single" w:color="000000" w:sz="4" w:space="0"/>
            </w:tcBorders>
            <w:noWrap/>
            <w:vAlign w:val="center"/>
          </w:tcPr>
          <w:p w14:paraId="0814D3C1">
            <w:pPr>
              <w:widowControl/>
              <w:spacing w:before="120"/>
              <w:jc w:val="center"/>
              <w:textAlignment w:val="center"/>
              <w:rPr>
                <w:rFonts w:ascii="宋体" w:hAnsi="宋体" w:eastAsia="宋体" w:cs="宋体"/>
                <w:sz w:val="24"/>
                <w:szCs w:val="24"/>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0A4522B3">
            <w:pPr>
              <w:widowControl/>
              <w:spacing w:before="120"/>
              <w:jc w:val="center"/>
              <w:textAlignment w:val="center"/>
              <w:rPr>
                <w:rFonts w:ascii="宋体" w:hAnsi="宋体" w:eastAsia="宋体" w:cs="宋体"/>
                <w:sz w:val="24"/>
                <w:szCs w:val="24"/>
              </w:rPr>
            </w:pP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79C2F585">
            <w:pPr>
              <w:widowControl/>
              <w:spacing w:before="120"/>
              <w:jc w:val="center"/>
              <w:textAlignment w:val="center"/>
              <w:rPr>
                <w:rFonts w:ascii="宋体" w:hAnsi="宋体" w:eastAsia="宋体" w:cs="宋体"/>
                <w:sz w:val="24"/>
                <w:szCs w:val="24"/>
              </w:rPr>
            </w:pPr>
          </w:p>
        </w:tc>
        <w:tc>
          <w:tcPr>
            <w:tcW w:w="2047" w:type="dxa"/>
            <w:tcBorders>
              <w:top w:val="single" w:color="000000" w:sz="4" w:space="0"/>
              <w:left w:val="single" w:color="000000" w:sz="4" w:space="0"/>
              <w:bottom w:val="single" w:color="000000" w:sz="4" w:space="0"/>
              <w:right w:val="single" w:color="000000" w:sz="4" w:space="0"/>
            </w:tcBorders>
            <w:noWrap/>
            <w:vAlign w:val="center"/>
          </w:tcPr>
          <w:p w14:paraId="015E2053">
            <w:pPr>
              <w:widowControl/>
              <w:spacing w:before="120"/>
              <w:jc w:val="center"/>
              <w:textAlignment w:val="center"/>
              <w:rPr>
                <w:rFonts w:ascii="宋体" w:hAnsi="宋体" w:eastAsia="宋体" w:cs="宋体"/>
                <w:sz w:val="24"/>
                <w:szCs w:val="24"/>
              </w:rPr>
            </w:pPr>
          </w:p>
        </w:tc>
      </w:tr>
    </w:tbl>
    <w:p w14:paraId="45473D99">
      <w:pPr>
        <w:numPr>
          <w:ilvl w:val="0"/>
          <w:numId w:val="2"/>
        </w:numPr>
        <w:tabs>
          <w:tab w:val="left" w:pos="7140"/>
        </w:tabs>
        <w:snapToGrid w:val="0"/>
        <w:spacing w:before="120"/>
        <w:rPr>
          <w:rFonts w:ascii="宋体" w:hAnsi="宋体" w:eastAsia="宋体" w:cs="宋体"/>
          <w:bCs/>
          <w:sz w:val="24"/>
          <w:szCs w:val="24"/>
        </w:rPr>
      </w:pPr>
      <w:r>
        <w:rPr>
          <w:rFonts w:hint="eastAsia" w:ascii="宋体" w:hAnsi="宋体" w:eastAsia="宋体" w:cs="宋体"/>
          <w:bCs/>
          <w:sz w:val="24"/>
          <w:szCs w:val="24"/>
        </w:rPr>
        <w:t>合同期限：</w:t>
      </w:r>
      <w:r>
        <w:rPr>
          <w:rFonts w:hint="eastAsia" w:ascii="宋体" w:hAnsi="宋体" w:eastAsia="宋体" w:cs="宋体"/>
          <w:bCs/>
          <w:sz w:val="24"/>
          <w:szCs w:val="24"/>
          <w:u w:val="single"/>
        </w:rPr>
        <w:t>1+1</w:t>
      </w:r>
      <w:r>
        <w:rPr>
          <w:rFonts w:hint="eastAsia" w:ascii="宋体" w:hAnsi="宋体" w:eastAsia="宋体" w:cs="宋体"/>
          <w:bCs/>
          <w:sz w:val="24"/>
          <w:szCs w:val="24"/>
        </w:rPr>
        <w:t>年，本合同为第一年，服务期限自2026年4月19日至2025年4月18日；本合同届满前一个月，由甲方考核本合同内服务满意度，考核合格后可继续签订下一年合同。</w:t>
      </w:r>
    </w:p>
    <w:p w14:paraId="21D02D01">
      <w:pPr>
        <w:numPr>
          <w:ilvl w:val="0"/>
          <w:numId w:val="2"/>
        </w:numPr>
        <w:tabs>
          <w:tab w:val="left" w:pos="7140"/>
        </w:tabs>
        <w:snapToGrid w:val="0"/>
        <w:spacing w:before="120"/>
        <w:rPr>
          <w:rFonts w:ascii="宋体" w:hAnsi="宋体" w:eastAsia="宋体" w:cs="宋体"/>
          <w:bCs/>
          <w:sz w:val="24"/>
          <w:szCs w:val="24"/>
        </w:rPr>
      </w:pPr>
      <w:r>
        <w:rPr>
          <w:rFonts w:hint="eastAsia" w:ascii="宋体" w:hAnsi="宋体" w:eastAsia="宋体" w:cs="宋体"/>
          <w:bCs/>
          <w:sz w:val="24"/>
          <w:szCs w:val="24"/>
        </w:rPr>
        <w:t>付款方式：合同生效之日起5日内，乙方</w:t>
      </w:r>
      <w:r>
        <w:rPr>
          <w:rFonts w:hint="eastAsia" w:ascii="新宋体" w:hAnsi="新宋体" w:eastAsia="新宋体" w:cs="新宋体"/>
          <w:sz w:val="24"/>
          <w:szCs w:val="24"/>
        </w:rPr>
        <w:t>缴纳全年电费补偿金</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¥（人民币大写：</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元），履约保证金为电费补偿金10%，即</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¥（人民币大写：</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元）。乙方未及时缴纳电</w:t>
      </w:r>
      <w:r>
        <w:rPr>
          <w:rFonts w:hint="eastAsia" w:ascii="宋体" w:hAnsi="宋体" w:eastAsia="宋体" w:cs="宋体"/>
          <w:bCs/>
          <w:sz w:val="24"/>
          <w:szCs w:val="24"/>
        </w:rPr>
        <w:t>费补偿金，应向甲方支付每天5‰的滞纳金，支付租金逾期超过30天时，甲方还有权提前终止本合同，且不退还</w:t>
      </w:r>
      <w:r>
        <w:rPr>
          <w:rFonts w:hint="eastAsia" w:ascii="新宋体" w:hAnsi="新宋体" w:eastAsia="新宋体" w:cs="新宋体"/>
          <w:sz w:val="24"/>
          <w:szCs w:val="24"/>
        </w:rPr>
        <w:t>履约保证金</w:t>
      </w:r>
      <w:r>
        <w:rPr>
          <w:rFonts w:hint="eastAsia" w:ascii="宋体" w:hAnsi="宋体" w:eastAsia="宋体" w:cs="宋体"/>
          <w:bCs/>
          <w:sz w:val="24"/>
          <w:szCs w:val="24"/>
        </w:rPr>
        <w:t>。</w:t>
      </w:r>
    </w:p>
    <w:p w14:paraId="613E0A12">
      <w:pPr>
        <w:numPr>
          <w:ilvl w:val="0"/>
          <w:numId w:val="2"/>
        </w:numPr>
        <w:tabs>
          <w:tab w:val="left" w:pos="7140"/>
        </w:tabs>
        <w:snapToGrid w:val="0"/>
        <w:spacing w:before="120"/>
        <w:rPr>
          <w:rFonts w:ascii="宋体" w:hAnsi="宋体" w:eastAsia="宋体" w:cs="宋体"/>
          <w:bCs/>
          <w:sz w:val="24"/>
          <w:szCs w:val="24"/>
        </w:rPr>
      </w:pPr>
      <w:r>
        <w:rPr>
          <w:rFonts w:hint="eastAsia" w:ascii="宋体" w:hAnsi="宋体" w:eastAsia="宋体" w:cs="宋体"/>
          <w:bCs/>
          <w:sz w:val="24"/>
          <w:szCs w:val="24"/>
        </w:rPr>
        <w:t>技术及服务要求：</w:t>
      </w:r>
    </w:p>
    <w:p w14:paraId="7A1775C8">
      <w:pPr>
        <w:pStyle w:val="14"/>
        <w:numPr>
          <w:ilvl w:val="0"/>
          <w:numId w:val="3"/>
        </w:numPr>
        <w:jc w:val="left"/>
      </w:pPr>
      <w:r>
        <w:rPr>
          <w:rFonts w:hint="eastAsia"/>
        </w:rPr>
        <w:t>乙方须承诺所提供的共享充电宝设备及其充电桩设备符合现行国家、行业各项标准。所投充电宝设备具有有效的中国国家强制性产品3C认证证书</w:t>
      </w:r>
      <w:r>
        <w:rPr>
          <w:rFonts w:hint="eastAsia"/>
          <w:lang w:eastAsia="zh-CN"/>
        </w:rPr>
        <w:t>、</w:t>
      </w:r>
      <w:r>
        <w:rPr>
          <w:rFonts w:hint="eastAsia"/>
        </w:rPr>
        <w:t>强制标准GB31241-2022《便携式电子产品用锂离子电池和电池组 安全技术规范》等证书</w:t>
      </w:r>
      <w:r>
        <w:rPr>
          <w:rFonts w:hint="eastAsia"/>
          <w:lang w:eastAsia="zh-CN"/>
        </w:rPr>
        <w:t>；</w:t>
      </w:r>
      <w:r>
        <w:rPr>
          <w:rFonts w:hint="eastAsia"/>
        </w:rPr>
        <w:t>所投充电宝设备若含无线发射功能，则需提供无线电型号核准认证证书</w:t>
      </w:r>
      <w:r>
        <w:rPr>
          <w:rFonts w:hint="eastAsia"/>
          <w:lang w:eastAsia="zh-CN"/>
        </w:rPr>
        <w:t>。</w:t>
      </w:r>
    </w:p>
    <w:p w14:paraId="567DD918">
      <w:pPr>
        <w:pStyle w:val="14"/>
        <w:numPr>
          <w:ilvl w:val="0"/>
          <w:numId w:val="3"/>
        </w:numPr>
        <w:jc w:val="left"/>
      </w:pPr>
      <w:r>
        <w:rPr>
          <w:rFonts w:hint="eastAsia"/>
        </w:rPr>
        <w:t>收费限价：充电宝用户借取费用</w:t>
      </w:r>
      <w:r>
        <w:rPr>
          <w:rFonts w:hint="eastAsia"/>
          <w:u w:val="single"/>
        </w:rPr>
        <w:t xml:space="preserve">    </w:t>
      </w:r>
      <w:r>
        <w:rPr>
          <w:rFonts w:hint="eastAsia"/>
        </w:rPr>
        <w:t>元/（或半）小时；借取押金为</w:t>
      </w:r>
      <w:r>
        <w:rPr>
          <w:rFonts w:hint="eastAsia"/>
          <w:u w:val="single"/>
        </w:rPr>
        <w:t xml:space="preserve">  </w:t>
      </w:r>
      <w:r>
        <w:rPr>
          <w:rFonts w:hint="eastAsia"/>
        </w:rPr>
        <w:t>元(或</w:t>
      </w:r>
      <w:r>
        <w:rPr>
          <w:rFonts w:hint="eastAsia"/>
          <w:u w:val="single"/>
        </w:rPr>
        <w:t xml:space="preserve">    </w:t>
      </w:r>
      <w:r>
        <w:rPr>
          <w:rFonts w:hint="eastAsia"/>
        </w:rPr>
        <w:t>积分)；借取免费时长</w:t>
      </w:r>
      <w:r>
        <w:rPr>
          <w:rFonts w:hint="eastAsia"/>
          <w:u w:val="single"/>
        </w:rPr>
        <w:t xml:space="preserve">   </w:t>
      </w:r>
      <w:r>
        <w:rPr>
          <w:rFonts w:hint="eastAsia"/>
        </w:rPr>
        <w:t>分钟/次；每日封顶</w:t>
      </w:r>
      <w:r>
        <w:rPr>
          <w:rFonts w:hint="eastAsia"/>
          <w:u w:val="single"/>
        </w:rPr>
        <w:t xml:space="preserve">     </w:t>
      </w:r>
      <w:r>
        <w:rPr>
          <w:rFonts w:hint="eastAsia"/>
        </w:rPr>
        <w:t>元/日；充电宝损失赔偿费用</w:t>
      </w:r>
      <w:r>
        <w:rPr>
          <w:rFonts w:hint="eastAsia"/>
          <w:u w:val="single"/>
        </w:rPr>
        <w:t xml:space="preserve">     </w:t>
      </w:r>
      <w:r>
        <w:rPr>
          <w:rFonts w:hint="eastAsia"/>
        </w:rPr>
        <w:t>元/个。</w:t>
      </w:r>
    </w:p>
    <w:p w14:paraId="211247A4">
      <w:pPr>
        <w:pStyle w:val="14"/>
        <w:numPr>
          <w:ilvl w:val="0"/>
          <w:numId w:val="3"/>
        </w:numPr>
        <w:jc w:val="left"/>
      </w:pPr>
      <w:r>
        <w:rPr>
          <w:rFonts w:hint="eastAsia"/>
        </w:rPr>
        <w:t>共享充电宝设备应满足：</w:t>
      </w:r>
    </w:p>
    <w:p w14:paraId="524466E5">
      <w:pPr>
        <w:widowControl/>
        <w:numPr>
          <w:ilvl w:val="0"/>
          <w:numId w:val="4"/>
        </w:numPr>
        <w:spacing w:before="120"/>
        <w:jc w:val="left"/>
        <w:rPr>
          <w:rFonts w:ascii="新宋体" w:hAnsi="新宋体" w:eastAsia="新宋体" w:cs="新宋体"/>
          <w:sz w:val="24"/>
          <w:szCs w:val="24"/>
        </w:rPr>
      </w:pPr>
      <w:r>
        <w:rPr>
          <w:rFonts w:hint="eastAsia" w:ascii="新宋体" w:hAnsi="新宋体" w:eastAsia="新宋体" w:cs="新宋体"/>
          <w:sz w:val="24"/>
          <w:szCs w:val="24"/>
        </w:rPr>
        <w:t>须为国家质检合格产品，设备外观应与医院整体装修风格搭配。</w:t>
      </w:r>
    </w:p>
    <w:p w14:paraId="36212C59">
      <w:pPr>
        <w:widowControl/>
        <w:numPr>
          <w:ilvl w:val="0"/>
          <w:numId w:val="4"/>
        </w:numPr>
        <w:spacing w:before="120"/>
        <w:jc w:val="left"/>
        <w:rPr>
          <w:rFonts w:ascii="新宋体" w:hAnsi="新宋体" w:eastAsia="新宋体" w:cs="新宋体"/>
          <w:sz w:val="24"/>
          <w:szCs w:val="24"/>
        </w:rPr>
      </w:pPr>
      <w:r>
        <w:rPr>
          <w:rFonts w:hint="eastAsia" w:ascii="新宋体" w:hAnsi="新宋体" w:eastAsia="新宋体" w:cs="新宋体"/>
          <w:sz w:val="24"/>
          <w:szCs w:val="24"/>
        </w:rPr>
        <w:t>充电宝具有同品牌温州区域通还功能，即甲方点位借取可温州其他区域同一品牌充电柜内归还，且计费标准以甲方点位为准。</w:t>
      </w:r>
    </w:p>
    <w:p w14:paraId="7F4D2014">
      <w:pPr>
        <w:widowControl/>
        <w:numPr>
          <w:ilvl w:val="0"/>
          <w:numId w:val="4"/>
        </w:numPr>
        <w:spacing w:before="120"/>
        <w:jc w:val="left"/>
        <w:rPr>
          <w:rFonts w:ascii="新宋体" w:hAnsi="新宋体" w:eastAsia="新宋体" w:cs="新宋体"/>
          <w:sz w:val="24"/>
          <w:szCs w:val="24"/>
        </w:rPr>
      </w:pPr>
      <w:r>
        <w:rPr>
          <w:rFonts w:hint="eastAsia" w:ascii="新宋体" w:hAnsi="新宋体" w:eastAsia="新宋体" w:cs="新宋体"/>
          <w:sz w:val="24"/>
          <w:szCs w:val="24"/>
        </w:rPr>
        <w:t>支付方式不少于两种，如微信、支付宝等，使用界面保证网络安全：不得存在网贷金融诈骗医疗类广告，若履行合同中发现，将强制性终止合同并保留法律追究权力；支付界面不得挂钩强制性“自动扣款”、“免密支付”等；借还未成功情况及时通知，</w:t>
      </w:r>
    </w:p>
    <w:p w14:paraId="03E8AD8F">
      <w:pPr>
        <w:widowControl/>
        <w:numPr>
          <w:ilvl w:val="0"/>
          <w:numId w:val="4"/>
        </w:numPr>
        <w:spacing w:before="120"/>
        <w:jc w:val="left"/>
        <w:rPr>
          <w:rFonts w:ascii="新宋体" w:hAnsi="新宋体" w:eastAsia="新宋体" w:cs="新宋体"/>
          <w:sz w:val="24"/>
          <w:szCs w:val="24"/>
        </w:rPr>
      </w:pPr>
      <w:r>
        <w:rPr>
          <w:rFonts w:hint="eastAsia" w:ascii="新宋体" w:hAnsi="新宋体" w:eastAsia="新宋体" w:cs="新宋体"/>
          <w:sz w:val="24"/>
          <w:szCs w:val="24"/>
        </w:rPr>
        <w:t>乙方所投产品有安全质量保证，有输出过压/短路保护、高温保护等，充电柜、充电宝符合国家防火等级，乙方保证产品消防安全，若出现消防安全事故，甲方有权终止本合同，没收电费补偿金与履约保证金，并保留相关法律追究权力。</w:t>
      </w:r>
    </w:p>
    <w:p w14:paraId="0338542D">
      <w:pPr>
        <w:widowControl/>
        <w:numPr>
          <w:ilvl w:val="0"/>
          <w:numId w:val="4"/>
        </w:numPr>
        <w:spacing w:before="120"/>
        <w:jc w:val="left"/>
        <w:rPr>
          <w:rFonts w:ascii="新宋体" w:hAnsi="新宋体" w:eastAsia="新宋体" w:cs="新宋体"/>
          <w:kern w:val="0"/>
          <w:sz w:val="24"/>
          <w:szCs w:val="24"/>
        </w:rPr>
      </w:pPr>
      <w:r>
        <w:rPr>
          <w:rFonts w:hint="eastAsia" w:ascii="新宋体" w:hAnsi="新宋体" w:eastAsia="新宋体" w:cs="新宋体"/>
          <w:sz w:val="24"/>
          <w:szCs w:val="24"/>
        </w:rPr>
        <w:t>保险公司承保产品。</w:t>
      </w:r>
    </w:p>
    <w:p w14:paraId="05820096">
      <w:pPr>
        <w:pStyle w:val="14"/>
        <w:numPr>
          <w:ilvl w:val="0"/>
          <w:numId w:val="3"/>
        </w:numPr>
        <w:jc w:val="left"/>
      </w:pPr>
      <w:r>
        <w:rPr>
          <w:rFonts w:hint="eastAsia"/>
        </w:rPr>
        <w:t>设备安装要求：</w:t>
      </w:r>
    </w:p>
    <w:p w14:paraId="599E2C42">
      <w:pPr>
        <w:widowControl/>
        <w:numPr>
          <w:ilvl w:val="0"/>
          <w:numId w:val="5"/>
        </w:numPr>
        <w:spacing w:before="120"/>
        <w:jc w:val="left"/>
        <w:rPr>
          <w:rFonts w:ascii="新宋体" w:hAnsi="新宋体" w:eastAsia="新宋体" w:cs="新宋体"/>
          <w:sz w:val="24"/>
          <w:szCs w:val="24"/>
        </w:rPr>
      </w:pPr>
      <w:r>
        <w:rPr>
          <w:rFonts w:hint="eastAsia" w:ascii="新宋体" w:hAnsi="新宋体" w:eastAsia="新宋体" w:cs="新宋体"/>
          <w:sz w:val="24"/>
          <w:szCs w:val="24"/>
        </w:rPr>
        <w:t>在甲方指定点位安装，不能超过点位范围。</w:t>
      </w:r>
    </w:p>
    <w:p w14:paraId="3B27D3B7">
      <w:pPr>
        <w:widowControl/>
        <w:numPr>
          <w:ilvl w:val="0"/>
          <w:numId w:val="5"/>
        </w:numPr>
        <w:spacing w:before="120"/>
        <w:jc w:val="left"/>
        <w:rPr>
          <w:rFonts w:ascii="新宋体" w:hAnsi="新宋体" w:eastAsia="新宋体" w:cs="新宋体"/>
          <w:sz w:val="24"/>
          <w:szCs w:val="24"/>
        </w:rPr>
      </w:pPr>
      <w:r>
        <w:rPr>
          <w:rFonts w:hint="eastAsia" w:ascii="新宋体" w:hAnsi="新宋体" w:eastAsia="新宋体" w:cs="新宋体"/>
          <w:sz w:val="24"/>
          <w:szCs w:val="24"/>
        </w:rPr>
        <w:t>若后期甲方对某点位有特殊用途，乙方应无条件服从点位调整安排。</w:t>
      </w:r>
    </w:p>
    <w:p w14:paraId="1BF90305">
      <w:pPr>
        <w:widowControl/>
        <w:numPr>
          <w:ilvl w:val="0"/>
          <w:numId w:val="5"/>
        </w:numPr>
        <w:spacing w:before="120"/>
        <w:jc w:val="left"/>
        <w:rPr>
          <w:rFonts w:ascii="新宋体" w:hAnsi="新宋体" w:eastAsia="新宋体" w:cs="新宋体"/>
          <w:sz w:val="24"/>
          <w:szCs w:val="24"/>
        </w:rPr>
      </w:pPr>
      <w:r>
        <w:rPr>
          <w:rFonts w:hint="eastAsia" w:ascii="新宋体" w:hAnsi="新宋体" w:eastAsia="新宋体" w:cs="新宋体"/>
          <w:sz w:val="24"/>
          <w:szCs w:val="24"/>
        </w:rPr>
        <w:t>走线布局合理，符合保卫部门确认的消防安全规范。</w:t>
      </w:r>
    </w:p>
    <w:p w14:paraId="0E407426">
      <w:pPr>
        <w:widowControl/>
        <w:numPr>
          <w:ilvl w:val="0"/>
          <w:numId w:val="5"/>
        </w:numPr>
        <w:spacing w:before="120"/>
        <w:jc w:val="left"/>
        <w:rPr>
          <w:rFonts w:ascii="新宋体" w:hAnsi="新宋体" w:eastAsia="新宋体" w:cs="新宋体"/>
          <w:sz w:val="24"/>
          <w:szCs w:val="24"/>
        </w:rPr>
      </w:pPr>
      <w:r>
        <w:rPr>
          <w:rFonts w:hint="eastAsia" w:ascii="新宋体" w:hAnsi="新宋体" w:eastAsia="新宋体" w:cs="新宋体"/>
          <w:sz w:val="24"/>
          <w:szCs w:val="24"/>
        </w:rPr>
        <w:t>交货时间：接到通知后15个工作日内。</w:t>
      </w:r>
    </w:p>
    <w:p w14:paraId="6ABE1EB3">
      <w:pPr>
        <w:widowControl/>
        <w:numPr>
          <w:ilvl w:val="0"/>
          <w:numId w:val="5"/>
        </w:numPr>
        <w:spacing w:before="120"/>
        <w:jc w:val="left"/>
        <w:rPr>
          <w:rFonts w:ascii="新宋体" w:hAnsi="新宋体" w:eastAsia="新宋体" w:cs="新宋体"/>
          <w:kern w:val="0"/>
          <w:sz w:val="24"/>
          <w:szCs w:val="24"/>
        </w:rPr>
      </w:pPr>
      <w:r>
        <w:rPr>
          <w:rFonts w:hint="eastAsia" w:ascii="新宋体" w:hAnsi="新宋体" w:eastAsia="新宋体" w:cs="新宋体"/>
          <w:sz w:val="24"/>
          <w:szCs w:val="24"/>
        </w:rPr>
        <w:t>交货地点：医院指定地点。</w:t>
      </w:r>
    </w:p>
    <w:p w14:paraId="3A6654A4">
      <w:pPr>
        <w:pStyle w:val="14"/>
        <w:numPr>
          <w:ilvl w:val="0"/>
          <w:numId w:val="3"/>
        </w:numPr>
        <w:jc w:val="left"/>
      </w:pPr>
      <w:r>
        <w:rPr>
          <w:rFonts w:hint="eastAsia"/>
        </w:rPr>
        <w:t>运行维护服务要求：</w:t>
      </w:r>
    </w:p>
    <w:p w14:paraId="4A8F8869">
      <w:pPr>
        <w:widowControl/>
        <w:numPr>
          <w:ilvl w:val="0"/>
          <w:numId w:val="6"/>
        </w:numPr>
        <w:spacing w:before="120"/>
        <w:jc w:val="left"/>
        <w:rPr>
          <w:rFonts w:ascii="新宋体" w:hAnsi="新宋体" w:eastAsia="新宋体" w:cs="新宋体"/>
          <w:sz w:val="24"/>
          <w:szCs w:val="24"/>
        </w:rPr>
      </w:pPr>
      <w:r>
        <w:rPr>
          <w:rFonts w:hint="eastAsia" w:ascii="新宋体" w:hAnsi="新宋体" w:eastAsia="新宋体" w:cs="新宋体"/>
          <w:sz w:val="24"/>
          <w:szCs w:val="24"/>
        </w:rPr>
        <w:t>服务时间：提供全年365天，根据客户需求确定营业时间。</w:t>
      </w:r>
    </w:p>
    <w:p w14:paraId="7D05F9F2">
      <w:pPr>
        <w:widowControl/>
        <w:numPr>
          <w:ilvl w:val="0"/>
          <w:numId w:val="6"/>
        </w:numPr>
        <w:spacing w:before="120"/>
        <w:jc w:val="left"/>
        <w:rPr>
          <w:rFonts w:ascii="新宋体" w:hAnsi="新宋体" w:eastAsia="新宋体" w:cs="新宋体"/>
          <w:sz w:val="24"/>
          <w:szCs w:val="24"/>
        </w:rPr>
      </w:pPr>
      <w:r>
        <w:rPr>
          <w:rFonts w:hint="eastAsia" w:ascii="新宋体" w:hAnsi="新宋体" w:eastAsia="新宋体" w:cs="新宋体"/>
          <w:sz w:val="24"/>
          <w:szCs w:val="24"/>
        </w:rPr>
        <w:t>按合同定期到货和安装，配备后勤保障人员，所有设备故障响应时间不超过1小时，甲方设备配有专职维保人员，设备上放置公司运维电话</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、专职人员联系电话</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w:t>
      </w:r>
    </w:p>
    <w:p w14:paraId="64B4F06F">
      <w:pPr>
        <w:widowControl/>
        <w:numPr>
          <w:ilvl w:val="0"/>
          <w:numId w:val="6"/>
        </w:numPr>
        <w:spacing w:before="120"/>
        <w:jc w:val="left"/>
        <w:rPr>
          <w:rFonts w:ascii="新宋体" w:hAnsi="新宋体" w:eastAsia="新宋体" w:cs="新宋体"/>
          <w:sz w:val="24"/>
          <w:szCs w:val="24"/>
        </w:rPr>
      </w:pPr>
      <w:r>
        <w:rPr>
          <w:rFonts w:hint="eastAsia" w:ascii="新宋体" w:hAnsi="新宋体" w:eastAsia="新宋体" w:cs="新宋体"/>
          <w:sz w:val="24"/>
          <w:szCs w:val="24"/>
        </w:rPr>
        <w:t>因设备故障、设备质量问题等引起的投诉纠纷或赔偿由乙方全权负责。</w:t>
      </w:r>
    </w:p>
    <w:p w14:paraId="30583FF1">
      <w:pPr>
        <w:pStyle w:val="14"/>
        <w:numPr>
          <w:ilvl w:val="0"/>
          <w:numId w:val="6"/>
        </w:numPr>
        <w:jc w:val="left"/>
      </w:pPr>
      <w:r>
        <w:rPr>
          <w:rFonts w:hint="eastAsia"/>
        </w:rPr>
        <w:t>若有政策、规定变更，则按新政新规执行。</w:t>
      </w:r>
    </w:p>
    <w:p w14:paraId="014814D7">
      <w:pPr>
        <w:pStyle w:val="14"/>
        <w:numPr>
          <w:ilvl w:val="0"/>
          <w:numId w:val="3"/>
        </w:numPr>
        <w:jc w:val="left"/>
      </w:pPr>
      <w:r>
        <w:rPr>
          <w:rFonts w:hint="eastAsia"/>
        </w:rPr>
        <w:t>验收标准、验收方式：</w:t>
      </w:r>
    </w:p>
    <w:p w14:paraId="3647F549">
      <w:pPr>
        <w:widowControl/>
        <w:numPr>
          <w:ilvl w:val="0"/>
          <w:numId w:val="7"/>
        </w:numPr>
        <w:spacing w:before="120"/>
        <w:jc w:val="left"/>
        <w:rPr>
          <w:rFonts w:ascii="新宋体" w:hAnsi="新宋体" w:eastAsia="新宋体" w:cs="新宋体"/>
          <w:sz w:val="24"/>
          <w:szCs w:val="24"/>
        </w:rPr>
      </w:pPr>
      <w:r>
        <w:rPr>
          <w:rFonts w:hint="eastAsia" w:ascii="新宋体" w:hAnsi="新宋体" w:eastAsia="新宋体" w:cs="新宋体"/>
          <w:sz w:val="24"/>
          <w:szCs w:val="24"/>
        </w:rPr>
        <w:t>验收标准：按国家有关规定以及采购文件的质量要求、技术指标进行验收。</w:t>
      </w:r>
    </w:p>
    <w:p w14:paraId="554D7DCB">
      <w:pPr>
        <w:pStyle w:val="14"/>
        <w:numPr>
          <w:ilvl w:val="0"/>
          <w:numId w:val="7"/>
        </w:numPr>
        <w:jc w:val="left"/>
      </w:pPr>
      <w:r>
        <w:rPr>
          <w:rFonts w:hint="eastAsia"/>
        </w:rPr>
        <w:t>如质量验收合格，双方签署验收交接单</w:t>
      </w:r>
    </w:p>
    <w:p w14:paraId="2C7DF554">
      <w:pPr>
        <w:pStyle w:val="14"/>
        <w:numPr>
          <w:ilvl w:val="0"/>
          <w:numId w:val="3"/>
        </w:numPr>
        <w:jc w:val="left"/>
      </w:pPr>
      <w:r>
        <w:rPr>
          <w:rFonts w:hint="eastAsia"/>
        </w:rPr>
        <w:t>其他管理要求：</w:t>
      </w:r>
    </w:p>
    <w:p w14:paraId="2F730CD0">
      <w:pPr>
        <w:widowControl/>
        <w:numPr>
          <w:ilvl w:val="0"/>
          <w:numId w:val="8"/>
        </w:numPr>
        <w:spacing w:before="120"/>
        <w:jc w:val="left"/>
        <w:textAlignment w:val="center"/>
        <w:rPr>
          <w:rFonts w:ascii="新宋体" w:hAnsi="新宋体" w:eastAsia="新宋体" w:cs="新宋体"/>
          <w:sz w:val="24"/>
          <w:szCs w:val="24"/>
        </w:rPr>
      </w:pPr>
      <w:r>
        <w:rPr>
          <w:rFonts w:hint="eastAsia" w:ascii="新宋体" w:hAnsi="新宋体" w:eastAsia="新宋体" w:cs="新宋体"/>
          <w:sz w:val="24"/>
          <w:szCs w:val="24"/>
        </w:rPr>
        <w:t>乙方投放的设备或销售的商品引发的任何投诉、纠纷或伤害，均由乙方负责处理，如投放的商品为假冒伪劣产品，甲方有权终止合作并要求乙方承担因此给甲方造成的损失。</w:t>
      </w:r>
    </w:p>
    <w:p w14:paraId="3E86E6B5">
      <w:pPr>
        <w:widowControl/>
        <w:numPr>
          <w:ilvl w:val="0"/>
          <w:numId w:val="8"/>
        </w:numPr>
        <w:spacing w:before="120"/>
        <w:jc w:val="left"/>
        <w:textAlignment w:val="center"/>
        <w:rPr>
          <w:rFonts w:ascii="宋体" w:hAnsi="宋体" w:eastAsia="宋体" w:cs="宋体"/>
          <w:bCs/>
          <w:sz w:val="24"/>
          <w:szCs w:val="24"/>
        </w:rPr>
      </w:pPr>
      <w:r>
        <w:rPr>
          <w:rFonts w:hint="eastAsia" w:ascii="新宋体" w:hAnsi="新宋体" w:eastAsia="新宋体" w:cs="新宋体"/>
          <w:sz w:val="24"/>
          <w:szCs w:val="24"/>
        </w:rPr>
        <w:t>在合作期间，为维护双方利益，未经院方书面同意，乙方不得将协议规定的点位转包、转租、分租、转借给第三方，若有该情况甲方有权终止合作。</w:t>
      </w:r>
    </w:p>
    <w:p w14:paraId="47D7AC96">
      <w:pPr>
        <w:widowControl/>
        <w:numPr>
          <w:ilvl w:val="0"/>
          <w:numId w:val="8"/>
        </w:numPr>
        <w:spacing w:before="120"/>
        <w:jc w:val="left"/>
        <w:textAlignment w:val="center"/>
        <w:rPr>
          <w:rFonts w:ascii="宋体" w:hAnsi="宋体" w:eastAsia="宋体" w:cs="宋体"/>
          <w:bCs/>
          <w:sz w:val="24"/>
          <w:szCs w:val="24"/>
        </w:rPr>
      </w:pPr>
      <w:r>
        <w:rPr>
          <w:rFonts w:hint="eastAsia" w:ascii="新宋体" w:hAnsi="新宋体" w:eastAsia="新宋体" w:cs="新宋体"/>
          <w:sz w:val="24"/>
          <w:szCs w:val="24"/>
        </w:rPr>
        <w:t>乙方提供的产品若为大显示屏，不得做无关广告宣传，不得在投放在甲方场所的设备上投放任何形式的商业广告，如投放公益广告，需在甲方书面确认后投放，播放的内容必须由甲方管理，服从甲方要求播放的内容。</w:t>
      </w:r>
    </w:p>
    <w:p w14:paraId="4D5D51F5">
      <w:pPr>
        <w:widowControl/>
        <w:numPr>
          <w:ilvl w:val="0"/>
          <w:numId w:val="8"/>
        </w:numPr>
        <w:spacing w:before="120"/>
        <w:jc w:val="left"/>
        <w:textAlignment w:val="center"/>
        <w:rPr>
          <w:rFonts w:ascii="新宋体" w:hAnsi="新宋体" w:eastAsia="新宋体" w:cs="新宋体"/>
          <w:bCs/>
          <w:sz w:val="24"/>
          <w:szCs w:val="24"/>
        </w:rPr>
      </w:pPr>
      <w:r>
        <w:rPr>
          <w:rFonts w:hint="eastAsia" w:ascii="新宋体" w:hAnsi="新宋体" w:eastAsia="新宋体" w:cs="新宋体"/>
          <w:sz w:val="24"/>
          <w:szCs w:val="24"/>
        </w:rPr>
        <w:t>安全管理：产品安全由乙方负责，</w:t>
      </w:r>
    </w:p>
    <w:p w14:paraId="2912F77D">
      <w:pPr>
        <w:numPr>
          <w:ilvl w:val="0"/>
          <w:numId w:val="2"/>
        </w:numPr>
        <w:tabs>
          <w:tab w:val="left" w:pos="7140"/>
        </w:tabs>
        <w:snapToGrid w:val="0"/>
        <w:spacing w:before="120"/>
        <w:rPr>
          <w:rFonts w:ascii="新宋体" w:hAnsi="新宋体" w:eastAsia="新宋体" w:cs="新宋体"/>
          <w:bCs/>
          <w:sz w:val="24"/>
          <w:szCs w:val="24"/>
        </w:rPr>
      </w:pPr>
      <w:r>
        <w:rPr>
          <w:rFonts w:hint="eastAsia" w:ascii="新宋体" w:hAnsi="新宋体" w:eastAsia="新宋体" w:cs="新宋体"/>
          <w:bCs/>
          <w:sz w:val="24"/>
          <w:szCs w:val="24"/>
        </w:rPr>
        <w:t>双方权利与义务：</w:t>
      </w:r>
    </w:p>
    <w:p w14:paraId="755AE6DA">
      <w:pPr>
        <w:widowControl/>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kern w:val="0"/>
          <w:sz w:val="24"/>
          <w:szCs w:val="24"/>
        </w:rPr>
        <w:t>权利：</w:t>
      </w:r>
    </w:p>
    <w:p w14:paraId="5051D1E0">
      <w:pPr>
        <w:widowControl/>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kern w:val="0"/>
          <w:sz w:val="24"/>
          <w:szCs w:val="24"/>
        </w:rPr>
        <w:t>甲乙双方有权对有关自身的事宜向对方做出咨询、沟通。</w:t>
      </w:r>
    </w:p>
    <w:p w14:paraId="4D8385AD">
      <w:pPr>
        <w:widowControl/>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kern w:val="0"/>
          <w:sz w:val="24"/>
          <w:szCs w:val="24"/>
        </w:rPr>
        <w:t>甲乙双方有权对各自的促销推广活动邀请对方进行合作沟通。</w:t>
      </w:r>
    </w:p>
    <w:p w14:paraId="36062EEC">
      <w:pPr>
        <w:widowControl/>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kern w:val="0"/>
          <w:sz w:val="24"/>
          <w:szCs w:val="24"/>
        </w:rPr>
        <w:t>甲乙双方对各自的品牌、商标、标志等拥有专有权。甲乙双方在使用对方的品牌、商标、标志进行宣传推广前，需提出书面申请并得到对方的授权。</w:t>
      </w:r>
    </w:p>
    <w:p w14:paraId="2877A81F">
      <w:pPr>
        <w:widowControl/>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kern w:val="0"/>
          <w:sz w:val="24"/>
          <w:szCs w:val="24"/>
        </w:rPr>
        <w:t>义务：</w:t>
      </w:r>
    </w:p>
    <w:p w14:paraId="7EE7DCF2">
      <w:pPr>
        <w:widowControl/>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kern w:val="0"/>
          <w:sz w:val="24"/>
          <w:szCs w:val="24"/>
        </w:rPr>
        <w:t>乙方需协助用户进行电源借还操作，并对相关疑问进行答疑讲解。</w:t>
      </w:r>
    </w:p>
    <w:p w14:paraId="124E6A63">
      <w:pPr>
        <w:widowControl/>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kern w:val="0"/>
          <w:sz w:val="24"/>
          <w:szCs w:val="24"/>
        </w:rPr>
        <w:t>乙方负责其投放的所有设备的安装、维修、维护、巡检、投诉接待、报修处理、纠纷处理等。</w:t>
      </w:r>
    </w:p>
    <w:p w14:paraId="2F06FB5A">
      <w:pPr>
        <w:widowControl/>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kern w:val="0"/>
          <w:sz w:val="24"/>
          <w:szCs w:val="24"/>
        </w:rPr>
        <w:t>乙方意向投放、安装设备前，应提前以书面方式提交至主管科室业务联系人，经主管科室书面同意后允许乙方投放安装设备；</w:t>
      </w:r>
    </w:p>
    <w:p w14:paraId="79CA328C">
      <w:pPr>
        <w:widowControl/>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kern w:val="0"/>
          <w:sz w:val="24"/>
          <w:szCs w:val="24"/>
        </w:rPr>
        <w:t>乙方应派专人每周对投放安装在我院区内的所有乙方设备进行巡检、维修保养；</w:t>
      </w:r>
    </w:p>
    <w:p w14:paraId="42178193">
      <w:pPr>
        <w:widowControl/>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kern w:val="0"/>
          <w:sz w:val="24"/>
          <w:szCs w:val="24"/>
        </w:rPr>
        <w:t>乙方对其投放的设备造成的任何不良后果负全部责任，甲方对此不负任何责任；</w:t>
      </w:r>
    </w:p>
    <w:p w14:paraId="42069354">
      <w:pPr>
        <w:widowControl/>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kern w:val="0"/>
          <w:sz w:val="24"/>
          <w:szCs w:val="24"/>
        </w:rPr>
        <w:t>乙方负责处理在电源租还服务流程中出现的设备故障报修、丢失处理和计费答疑等问题。</w:t>
      </w:r>
    </w:p>
    <w:p w14:paraId="7246F68E">
      <w:pPr>
        <w:widowControl/>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kern w:val="0"/>
          <w:sz w:val="24"/>
          <w:szCs w:val="24"/>
        </w:rPr>
        <w:t>甲方有义务确保设备摆放在院内（除已租赁出去的店面）合适的位置、确保电源正常连接。</w:t>
      </w:r>
    </w:p>
    <w:p w14:paraId="4F723866">
      <w:pPr>
        <w:widowControl/>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sz w:val="24"/>
          <w:szCs w:val="24"/>
        </w:rPr>
        <w:t>甲方有义务向乙方如实提供商户信息并提供营业执照复印件。</w:t>
      </w:r>
    </w:p>
    <w:p w14:paraId="7523706D">
      <w:pPr>
        <w:widowControl/>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kern w:val="0"/>
          <w:sz w:val="24"/>
          <w:szCs w:val="24"/>
        </w:rPr>
        <w:t>充电箱设备本身质量问题产生的故障和破损(例如正常安全使用环境下的设备爆炸、设备自燃、设备自身质量问题等)，由乙方及设备制造商承担，甲方概不负责。</w:t>
      </w:r>
    </w:p>
    <w:p w14:paraId="26C7D123">
      <w:pPr>
        <w:widowControl/>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kern w:val="0"/>
          <w:sz w:val="24"/>
          <w:szCs w:val="24"/>
        </w:rPr>
      </w:pPr>
      <w:r>
        <w:rPr>
          <w:rFonts w:hint="eastAsia" w:ascii="新宋体" w:hAnsi="新宋体" w:eastAsia="新宋体" w:cs="新宋体"/>
          <w:kern w:val="0"/>
          <w:sz w:val="24"/>
          <w:szCs w:val="24"/>
        </w:rPr>
        <w:t>如合同到期或合同提前终止，乙方应在合同结束的一周内及时撤出所有投放在甲方院区内的设备，如未及时撤离，甲方有权向乙方索取相应赔偿。</w:t>
      </w:r>
    </w:p>
    <w:p w14:paraId="29C56E36">
      <w:pPr>
        <w:numPr>
          <w:ilvl w:val="0"/>
          <w:numId w:val="2"/>
        </w:numPr>
        <w:tabs>
          <w:tab w:val="left" w:pos="7140"/>
        </w:tabs>
        <w:snapToGrid w:val="0"/>
        <w:spacing w:before="120"/>
        <w:rPr>
          <w:rFonts w:ascii="新宋体" w:hAnsi="新宋体" w:eastAsia="新宋体" w:cs="新宋体"/>
          <w:bCs/>
          <w:sz w:val="24"/>
          <w:szCs w:val="24"/>
        </w:rPr>
      </w:pPr>
      <w:r>
        <w:rPr>
          <w:rFonts w:hint="eastAsia" w:ascii="新宋体" w:hAnsi="新宋体" w:eastAsia="新宋体" w:cs="新宋体"/>
          <w:bCs/>
          <w:sz w:val="24"/>
          <w:szCs w:val="24"/>
        </w:rPr>
        <w:t>违约责任：</w:t>
      </w:r>
    </w:p>
    <w:p w14:paraId="7543418D">
      <w:pPr>
        <w:widowControl/>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bCs/>
          <w:sz w:val="24"/>
          <w:szCs w:val="24"/>
        </w:rPr>
      </w:pPr>
      <w:r>
        <w:rPr>
          <w:rFonts w:hint="eastAsia" w:ascii="新宋体" w:hAnsi="新宋体" w:eastAsia="新宋体" w:cs="新宋体"/>
          <w:kern w:val="0"/>
          <w:sz w:val="24"/>
          <w:szCs w:val="24"/>
        </w:rPr>
        <w:t>合同双方同意，本合约任何一方违反各自在本合约中所保证、承诺的或其他条款，均构成违约。如因一方的违约行为对其他方造成损失的，违约方应负赔偿责任。</w:t>
      </w:r>
    </w:p>
    <w:p w14:paraId="4291A677">
      <w:pPr>
        <w:widowControl/>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bCs/>
          <w:sz w:val="24"/>
          <w:szCs w:val="24"/>
        </w:rPr>
      </w:pPr>
      <w:r>
        <w:rPr>
          <w:rFonts w:hint="eastAsia" w:ascii="新宋体" w:hAnsi="新宋体" w:eastAsia="新宋体" w:cs="新宋体"/>
          <w:kern w:val="0"/>
          <w:sz w:val="24"/>
          <w:szCs w:val="24"/>
        </w:rPr>
        <w:t>对非本合同双方过错所产生的损失，各方应按照公平原则分担并相互协助向有过错一方请求赔偿。</w:t>
      </w:r>
    </w:p>
    <w:p w14:paraId="5AFDA25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新宋体" w:hAnsi="新宋体" w:eastAsia="新宋体" w:cs="新宋体"/>
          <w:bCs/>
          <w:sz w:val="24"/>
          <w:szCs w:val="24"/>
        </w:rPr>
      </w:pPr>
    </w:p>
    <w:p w14:paraId="05BDC9A2">
      <w:pPr>
        <w:numPr>
          <w:ilvl w:val="0"/>
          <w:numId w:val="2"/>
        </w:numPr>
        <w:tabs>
          <w:tab w:val="left" w:pos="7140"/>
        </w:tabs>
        <w:snapToGrid w:val="0"/>
        <w:spacing w:before="120"/>
        <w:rPr>
          <w:rFonts w:ascii="新宋体" w:hAnsi="新宋体" w:eastAsia="新宋体" w:cs="新宋体"/>
          <w:bCs/>
          <w:sz w:val="24"/>
          <w:szCs w:val="24"/>
        </w:rPr>
      </w:pPr>
      <w:r>
        <w:rPr>
          <w:rFonts w:hint="eastAsia" w:ascii="新宋体" w:hAnsi="新宋体" w:eastAsia="新宋体" w:cs="新宋体"/>
          <w:bCs/>
          <w:sz w:val="24"/>
          <w:szCs w:val="24"/>
        </w:rPr>
        <w:t>合同终止：</w:t>
      </w:r>
    </w:p>
    <w:p w14:paraId="40D9D0F4">
      <w:pPr>
        <w:numPr>
          <w:ilvl w:val="0"/>
          <w:numId w:val="13"/>
        </w:numPr>
        <w:tabs>
          <w:tab w:val="left" w:pos="7140"/>
        </w:tabs>
        <w:snapToGrid w:val="0"/>
        <w:spacing w:before="120"/>
        <w:rPr>
          <w:rFonts w:ascii="新宋体" w:hAnsi="新宋体" w:eastAsia="新宋体" w:cs="新宋体"/>
          <w:kern w:val="0"/>
          <w:sz w:val="24"/>
          <w:szCs w:val="24"/>
        </w:rPr>
      </w:pPr>
      <w:r>
        <w:rPr>
          <w:rFonts w:hint="eastAsia" w:ascii="新宋体" w:hAnsi="新宋体" w:eastAsia="新宋体" w:cs="新宋体"/>
          <w:kern w:val="0"/>
          <w:sz w:val="24"/>
          <w:szCs w:val="24"/>
        </w:rPr>
        <w:t>下列情况之一出现时，本合作合同被视为即时终止:①合作期限届满或本合同约定的其他终止情形发生时，本合同终止; ②双方协商一致的，可提前终止本合同;③任何一方违约，另一方根据本合同的约定提前终止。④因甲方上级政策法规原因需提前终止本合同的。</w:t>
      </w:r>
    </w:p>
    <w:p w14:paraId="6666A39A">
      <w:pPr>
        <w:numPr>
          <w:ilvl w:val="0"/>
          <w:numId w:val="13"/>
        </w:numPr>
        <w:tabs>
          <w:tab w:val="left" w:pos="7140"/>
        </w:tabs>
        <w:snapToGrid w:val="0"/>
        <w:spacing w:before="120"/>
        <w:rPr>
          <w:rFonts w:ascii="新宋体" w:hAnsi="新宋体" w:eastAsia="新宋体" w:cs="新宋体"/>
          <w:sz w:val="24"/>
          <w:szCs w:val="24"/>
        </w:rPr>
      </w:pPr>
      <w:r>
        <w:rPr>
          <w:rFonts w:hint="eastAsia" w:ascii="新宋体" w:hAnsi="新宋体" w:eastAsia="新宋体" w:cs="新宋体"/>
          <w:kern w:val="0"/>
          <w:sz w:val="24"/>
          <w:szCs w:val="24"/>
        </w:rPr>
        <w:t>下列情况之一出现时，甲方有权终止合同：①</w:t>
      </w:r>
      <w:r>
        <w:rPr>
          <w:rFonts w:hint="eastAsia" w:ascii="新宋体" w:hAnsi="新宋体" w:eastAsia="新宋体" w:cs="新宋体"/>
          <w:sz w:val="24"/>
          <w:szCs w:val="24"/>
        </w:rPr>
        <w:t>使用界面发生网络安全事故，存在网贷金融诈骗医疗类广告；</w:t>
      </w:r>
      <w:r>
        <w:rPr>
          <w:rFonts w:hint="eastAsia" w:ascii="新宋体" w:hAnsi="新宋体" w:eastAsia="新宋体" w:cs="新宋体"/>
          <w:kern w:val="0"/>
          <w:sz w:val="24"/>
          <w:szCs w:val="24"/>
        </w:rPr>
        <w:t>②</w:t>
      </w:r>
      <w:r>
        <w:rPr>
          <w:rFonts w:hint="eastAsia" w:ascii="新宋体" w:hAnsi="新宋体" w:eastAsia="新宋体" w:cs="新宋体"/>
          <w:sz w:val="24"/>
          <w:szCs w:val="24"/>
        </w:rPr>
        <w:t>出现消防安全事故，包括但不限于充电柜短路起火、充电宝燃爆等；</w:t>
      </w:r>
      <w:r>
        <w:rPr>
          <w:rFonts w:hint="eastAsia" w:ascii="新宋体" w:hAnsi="新宋体" w:eastAsia="新宋体" w:cs="新宋体"/>
          <w:kern w:val="0"/>
          <w:sz w:val="24"/>
          <w:szCs w:val="24"/>
        </w:rPr>
        <w:t>③</w:t>
      </w:r>
      <w:r>
        <w:rPr>
          <w:rFonts w:hint="eastAsia" w:ascii="新宋体" w:hAnsi="新宋体" w:eastAsia="新宋体" w:cs="新宋体"/>
          <w:sz w:val="24"/>
          <w:szCs w:val="24"/>
        </w:rPr>
        <w:t>乙方将协议规定的点位转包、转租、分租、转借给第三方；</w:t>
      </w:r>
      <w:r>
        <w:rPr>
          <w:rFonts w:hint="eastAsia" w:ascii="新宋体" w:hAnsi="新宋体" w:eastAsia="新宋体" w:cs="新宋体"/>
          <w:kern w:val="0"/>
          <w:sz w:val="24"/>
          <w:szCs w:val="24"/>
        </w:rPr>
        <w:t>④</w:t>
      </w:r>
      <w:r>
        <w:rPr>
          <w:rFonts w:hint="eastAsia" w:ascii="新宋体" w:hAnsi="新宋体" w:eastAsia="新宋体" w:cs="新宋体"/>
          <w:sz w:val="24"/>
          <w:szCs w:val="24"/>
        </w:rPr>
        <w:t>乙方提供的产品大显示屏上出现有损国家、医院形象的画面。</w:t>
      </w:r>
    </w:p>
    <w:p w14:paraId="6FF77805">
      <w:pPr>
        <w:numPr>
          <w:ilvl w:val="0"/>
          <w:numId w:val="2"/>
        </w:numPr>
        <w:tabs>
          <w:tab w:val="left" w:pos="7140"/>
        </w:tabs>
        <w:snapToGrid w:val="0"/>
        <w:spacing w:before="120"/>
        <w:rPr>
          <w:rFonts w:ascii="宋体" w:hAnsi="宋体" w:eastAsia="宋体" w:cs="宋体"/>
          <w:bCs/>
          <w:sz w:val="24"/>
          <w:szCs w:val="24"/>
        </w:rPr>
      </w:pPr>
      <w:r>
        <w:rPr>
          <w:rFonts w:hint="eastAsia" w:ascii="宋体" w:hAnsi="宋体" w:eastAsia="宋体" w:cs="宋体"/>
          <w:bCs/>
          <w:sz w:val="24"/>
          <w:szCs w:val="24"/>
        </w:rPr>
        <w:t>其他：</w:t>
      </w:r>
    </w:p>
    <w:p w14:paraId="0CC63CC1">
      <w:pPr>
        <w:widowControl/>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宋体" w:hAnsi="宋体" w:eastAsia="宋体" w:cs="宋体"/>
          <w:kern w:val="0"/>
          <w:sz w:val="24"/>
          <w:szCs w:val="24"/>
        </w:rPr>
      </w:pPr>
      <w:r>
        <w:rPr>
          <w:rFonts w:hint="eastAsia" w:ascii="宋体" w:hAnsi="宋体" w:eastAsia="宋体" w:cs="宋体"/>
          <w:kern w:val="0"/>
          <w:sz w:val="24"/>
          <w:szCs w:val="24"/>
        </w:rPr>
        <w:t>本协议的修改、补充、变更，必须经甲、乙双方协商一致，并经双方签署书面协议之后方能生效，并作为本合同附件，与本合同具有相同的法律效力。</w:t>
      </w:r>
    </w:p>
    <w:p w14:paraId="26DB2404">
      <w:pPr>
        <w:widowControl/>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宋体" w:hAnsi="宋体" w:eastAsia="宋体" w:cs="宋体"/>
          <w:kern w:val="0"/>
          <w:sz w:val="24"/>
          <w:szCs w:val="24"/>
        </w:rPr>
      </w:pPr>
      <w:r>
        <w:rPr>
          <w:rFonts w:hint="eastAsia" w:ascii="宋体" w:hAnsi="宋体" w:eastAsia="宋体" w:cs="宋体"/>
          <w:kern w:val="0"/>
          <w:sz w:val="24"/>
          <w:szCs w:val="24"/>
        </w:rPr>
        <w:t>本合同中的任何一款与国家相关法律法规强制性规定有冲突时，按照国家相关法律法规执行。</w:t>
      </w:r>
    </w:p>
    <w:p w14:paraId="6C7B330E">
      <w:pPr>
        <w:widowControl/>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宋体" w:hAnsi="宋体" w:eastAsia="宋体" w:cs="宋体"/>
          <w:kern w:val="0"/>
          <w:sz w:val="24"/>
          <w:szCs w:val="24"/>
        </w:rPr>
      </w:pPr>
      <w:r>
        <w:rPr>
          <w:rFonts w:hint="eastAsia" w:ascii="宋体" w:hAnsi="宋体" w:eastAsia="宋体" w:cs="宋体"/>
          <w:kern w:val="0"/>
          <w:sz w:val="24"/>
          <w:szCs w:val="24"/>
        </w:rPr>
        <w:t>与本合同有关的全部通知，双方可选择采用书面方式变更及确认。</w:t>
      </w:r>
    </w:p>
    <w:p w14:paraId="71FAE458">
      <w:pPr>
        <w:widowControl/>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宋体" w:hAnsi="宋体" w:eastAsia="宋体" w:cs="宋体"/>
          <w:kern w:val="0"/>
          <w:sz w:val="24"/>
          <w:szCs w:val="24"/>
        </w:rPr>
      </w:pPr>
      <w:r>
        <w:rPr>
          <w:rFonts w:hint="eastAsia" w:ascii="宋体" w:hAnsi="宋体" w:eastAsia="宋体" w:cs="宋体"/>
          <w:kern w:val="0"/>
          <w:sz w:val="24"/>
          <w:szCs w:val="24"/>
        </w:rPr>
        <w:t>本合同经双方签字盖章后生效。</w:t>
      </w:r>
    </w:p>
    <w:p w14:paraId="010EDE4B">
      <w:pPr>
        <w:widowControl/>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exact"/>
        <w:jc w:val="left"/>
        <w:rPr>
          <w:rFonts w:ascii="宋体" w:hAnsi="宋体" w:eastAsia="宋体" w:cs="宋体"/>
          <w:kern w:val="0"/>
          <w:sz w:val="24"/>
          <w:szCs w:val="24"/>
        </w:rPr>
      </w:pPr>
      <w:r>
        <w:rPr>
          <w:rFonts w:hint="eastAsia" w:ascii="宋体" w:hAnsi="宋体" w:eastAsia="宋体" w:cs="宋体"/>
          <w:kern w:val="0"/>
          <w:sz w:val="24"/>
          <w:szCs w:val="24"/>
        </w:rPr>
        <w:t>本合同壹式肆份，双方各执贰份，具有同等法律效力</w:t>
      </w:r>
    </w:p>
    <w:p w14:paraId="0C9E2A86">
      <w:pPr>
        <w:pStyle w:val="6"/>
        <w:spacing w:before="120" w:after="0"/>
        <w:rPr>
          <w:rFonts w:ascii="宋体" w:hAnsi="宋体" w:eastAsia="宋体" w:cs="宋体"/>
          <w:strike/>
          <w:sz w:val="24"/>
          <w:szCs w:val="24"/>
        </w:rPr>
      </w:pPr>
      <w:r>
        <w:rPr>
          <w:rFonts w:hint="eastAsia" w:ascii="新宋体" w:hAnsi="新宋体" w:eastAsia="新宋体" w:cs="新宋体"/>
          <w:bCs/>
          <w:sz w:val="24"/>
          <w:szCs w:val="24"/>
        </w:rPr>
        <w:t xml:space="preserve">  </w:t>
      </w:r>
      <w:r>
        <w:rPr>
          <w:rFonts w:hint="eastAsia" w:ascii="宋体" w:hAnsi="宋体" w:eastAsia="宋体" w:cs="宋体"/>
          <w:sz w:val="24"/>
          <w:szCs w:val="24"/>
        </w:rPr>
        <w:t>以下无正文</w:t>
      </w:r>
      <w:r>
        <w:rPr>
          <w:rFonts w:hint="eastAsia" w:ascii="宋体" w:hAnsi="宋体" w:eastAsia="宋体" w:cs="宋体"/>
          <w:strike/>
          <w:sz w:val="24"/>
          <w:szCs w:val="24"/>
        </w:rPr>
        <w:t xml:space="preserve">                                                           </w:t>
      </w:r>
    </w:p>
    <w:tbl>
      <w:tblPr>
        <w:tblStyle w:val="15"/>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5"/>
        <w:gridCol w:w="4098"/>
      </w:tblGrid>
      <w:tr w14:paraId="172F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445" w:type="dxa"/>
            <w:vAlign w:val="center"/>
          </w:tcPr>
          <w:p w14:paraId="5DD91240">
            <w:pPr>
              <w:tabs>
                <w:tab w:val="left" w:pos="4725"/>
              </w:tabs>
              <w:rPr>
                <w:rFonts w:ascii="宋体" w:hAnsi="宋体" w:eastAsia="宋体" w:cs="宋体"/>
                <w:sz w:val="24"/>
                <w:szCs w:val="24"/>
              </w:rPr>
            </w:pPr>
            <w:r>
              <w:rPr>
                <w:rFonts w:hint="eastAsia" w:ascii="宋体" w:hAnsi="宋体" w:eastAsia="宋体" w:cs="宋体"/>
                <w:sz w:val="24"/>
                <w:szCs w:val="24"/>
              </w:rPr>
              <w:t>甲方：温州市人民医院</w:t>
            </w:r>
          </w:p>
        </w:tc>
        <w:tc>
          <w:tcPr>
            <w:tcW w:w="4098" w:type="dxa"/>
            <w:vAlign w:val="center"/>
          </w:tcPr>
          <w:p w14:paraId="532C6631">
            <w:pPr>
              <w:tabs>
                <w:tab w:val="left" w:pos="4725"/>
              </w:tabs>
              <w:rPr>
                <w:rFonts w:ascii="宋体" w:hAnsi="宋体" w:eastAsia="宋体" w:cs="宋体"/>
                <w:sz w:val="24"/>
                <w:szCs w:val="24"/>
              </w:rPr>
            </w:pPr>
            <w:r>
              <w:rPr>
                <w:rFonts w:hint="eastAsia" w:ascii="宋体" w:hAnsi="宋体" w:eastAsia="宋体" w:cs="宋体"/>
                <w:sz w:val="24"/>
                <w:szCs w:val="24"/>
              </w:rPr>
              <w:t>乙方：</w:t>
            </w:r>
          </w:p>
        </w:tc>
      </w:tr>
      <w:tr w14:paraId="4D01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4" w:hRule="atLeast"/>
          <w:jc w:val="center"/>
        </w:trPr>
        <w:tc>
          <w:tcPr>
            <w:tcW w:w="4445" w:type="dxa"/>
            <w:vAlign w:val="center"/>
          </w:tcPr>
          <w:p w14:paraId="311C3EF7">
            <w:pPr>
              <w:tabs>
                <w:tab w:val="left" w:pos="4725"/>
              </w:tabs>
              <w:rPr>
                <w:rFonts w:ascii="宋体" w:hAnsi="宋体" w:eastAsia="宋体" w:cs="宋体"/>
                <w:sz w:val="24"/>
                <w:szCs w:val="24"/>
              </w:rPr>
            </w:pPr>
            <w:r>
              <w:rPr>
                <w:rFonts w:hint="eastAsia" w:ascii="宋体" w:hAnsi="宋体" w:eastAsia="宋体" w:cs="宋体"/>
                <w:sz w:val="24"/>
                <w:szCs w:val="24"/>
              </w:rPr>
              <w:t>地址：温州市瓯海区古岸路299号。</w:t>
            </w:r>
          </w:p>
          <w:p w14:paraId="2A26A659">
            <w:pPr>
              <w:tabs>
                <w:tab w:val="left" w:pos="4725"/>
              </w:tabs>
              <w:rPr>
                <w:rFonts w:ascii="宋体" w:hAnsi="宋体" w:eastAsia="宋体" w:cs="宋体"/>
                <w:sz w:val="24"/>
                <w:szCs w:val="24"/>
              </w:rPr>
            </w:pPr>
            <w:r>
              <w:rPr>
                <w:rFonts w:hint="eastAsia" w:ascii="宋体" w:hAnsi="宋体" w:eastAsia="宋体" w:cs="宋体"/>
                <w:sz w:val="24"/>
                <w:szCs w:val="24"/>
              </w:rPr>
              <w:t xml:space="preserve">电话：0577-88057237、88306670。 </w:t>
            </w:r>
          </w:p>
          <w:p w14:paraId="222BF12B">
            <w:pPr>
              <w:tabs>
                <w:tab w:val="left" w:pos="4725"/>
              </w:tabs>
              <w:rPr>
                <w:rFonts w:ascii="宋体" w:hAnsi="宋体" w:eastAsia="宋体" w:cs="宋体"/>
                <w:sz w:val="24"/>
                <w:szCs w:val="24"/>
              </w:rPr>
            </w:pPr>
            <w:r>
              <w:rPr>
                <w:rFonts w:hint="eastAsia" w:ascii="宋体" w:hAnsi="宋体" w:eastAsia="宋体" w:cs="宋体"/>
                <w:sz w:val="24"/>
                <w:szCs w:val="24"/>
              </w:rPr>
              <w:t>开户银行：温州市建行营业部</w:t>
            </w:r>
          </w:p>
          <w:p w14:paraId="3E3BC909">
            <w:pPr>
              <w:tabs>
                <w:tab w:val="left" w:pos="4725"/>
              </w:tabs>
              <w:rPr>
                <w:rFonts w:ascii="宋体" w:hAnsi="宋体" w:eastAsia="宋体" w:cs="宋体"/>
                <w:sz w:val="24"/>
                <w:szCs w:val="24"/>
              </w:rPr>
            </w:pPr>
            <w:r>
              <w:rPr>
                <w:rFonts w:hint="eastAsia" w:ascii="宋体" w:hAnsi="宋体" w:eastAsia="宋体" w:cs="宋体"/>
                <w:sz w:val="24"/>
                <w:szCs w:val="24"/>
              </w:rPr>
              <w:t>账号：33001623535050035971</w:t>
            </w:r>
          </w:p>
          <w:p w14:paraId="61C19CDB">
            <w:pPr>
              <w:tabs>
                <w:tab w:val="left" w:pos="4725"/>
              </w:tabs>
              <w:rPr>
                <w:rFonts w:ascii="宋体" w:hAnsi="宋体" w:eastAsia="宋体" w:cs="宋体"/>
                <w:sz w:val="24"/>
                <w:szCs w:val="24"/>
              </w:rPr>
            </w:pPr>
            <w:r>
              <w:rPr>
                <w:rFonts w:hint="eastAsia" w:ascii="宋体" w:hAnsi="宋体" w:eastAsia="宋体" w:cs="宋体"/>
                <w:sz w:val="24"/>
                <w:szCs w:val="24"/>
              </w:rPr>
              <w:t>税号：123303004705255657</w:t>
            </w:r>
          </w:p>
        </w:tc>
        <w:tc>
          <w:tcPr>
            <w:tcW w:w="4098" w:type="dxa"/>
          </w:tcPr>
          <w:p w14:paraId="4B83860A">
            <w:pPr>
              <w:tabs>
                <w:tab w:val="left" w:pos="4725"/>
              </w:tabs>
              <w:rPr>
                <w:rFonts w:ascii="宋体" w:hAnsi="宋体" w:eastAsia="宋体" w:cs="宋体"/>
                <w:sz w:val="24"/>
                <w:szCs w:val="24"/>
              </w:rPr>
            </w:pPr>
            <w:r>
              <w:rPr>
                <w:rFonts w:hint="eastAsia" w:ascii="宋体" w:hAnsi="宋体" w:eastAsia="宋体" w:cs="宋体"/>
                <w:sz w:val="24"/>
                <w:szCs w:val="24"/>
              </w:rPr>
              <w:t>地址：</w:t>
            </w:r>
          </w:p>
          <w:p w14:paraId="4A0556FB">
            <w:pPr>
              <w:tabs>
                <w:tab w:val="left" w:pos="4725"/>
              </w:tabs>
              <w:rPr>
                <w:rFonts w:ascii="宋体" w:hAnsi="宋体" w:eastAsia="宋体" w:cs="宋体"/>
                <w:sz w:val="24"/>
                <w:szCs w:val="24"/>
              </w:rPr>
            </w:pPr>
            <w:r>
              <w:rPr>
                <w:rFonts w:hint="eastAsia" w:ascii="宋体" w:hAnsi="宋体" w:eastAsia="宋体" w:cs="宋体"/>
                <w:sz w:val="24"/>
                <w:szCs w:val="24"/>
              </w:rPr>
              <w:t>电话：</w:t>
            </w:r>
          </w:p>
          <w:p w14:paraId="0ED1BDB6">
            <w:pPr>
              <w:tabs>
                <w:tab w:val="left" w:pos="5775"/>
                <w:tab w:val="left" w:pos="7140"/>
              </w:tabs>
              <w:snapToGrid w:val="0"/>
              <w:rPr>
                <w:rFonts w:ascii="宋体" w:hAnsi="宋体" w:eastAsia="宋体" w:cs="宋体"/>
                <w:sz w:val="24"/>
                <w:szCs w:val="24"/>
              </w:rPr>
            </w:pPr>
            <w:r>
              <w:rPr>
                <w:rFonts w:hint="eastAsia" w:ascii="宋体" w:hAnsi="宋体" w:eastAsia="宋体" w:cs="宋体"/>
                <w:sz w:val="24"/>
                <w:szCs w:val="24"/>
              </w:rPr>
              <w:t>开户银行：</w:t>
            </w:r>
          </w:p>
          <w:p w14:paraId="61DD9F19">
            <w:pPr>
              <w:tabs>
                <w:tab w:val="left" w:pos="5775"/>
                <w:tab w:val="left" w:pos="7140"/>
              </w:tabs>
              <w:snapToGrid w:val="0"/>
              <w:rPr>
                <w:rFonts w:ascii="宋体" w:hAnsi="宋体" w:eastAsia="宋体" w:cs="宋体"/>
                <w:sz w:val="24"/>
                <w:szCs w:val="24"/>
              </w:rPr>
            </w:pPr>
            <w:r>
              <w:rPr>
                <w:rFonts w:hint="eastAsia" w:ascii="宋体" w:hAnsi="宋体" w:eastAsia="宋体" w:cs="宋体"/>
                <w:sz w:val="24"/>
                <w:szCs w:val="24"/>
              </w:rPr>
              <w:t>账号：</w:t>
            </w:r>
          </w:p>
        </w:tc>
      </w:tr>
      <w:tr w14:paraId="1892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4445" w:type="dxa"/>
          </w:tcPr>
          <w:p w14:paraId="189BE1C2">
            <w:pPr>
              <w:tabs>
                <w:tab w:val="left" w:pos="4725"/>
              </w:tabs>
              <w:ind w:left="42"/>
              <w:rPr>
                <w:rFonts w:ascii="宋体" w:hAnsi="宋体" w:eastAsia="宋体" w:cs="宋体"/>
                <w:sz w:val="24"/>
                <w:szCs w:val="24"/>
              </w:rPr>
            </w:pPr>
            <w:r>
              <w:rPr>
                <w:rFonts w:hint="eastAsia" w:ascii="宋体" w:hAnsi="宋体" w:eastAsia="宋体" w:cs="宋体"/>
                <w:sz w:val="24"/>
                <w:szCs w:val="24"/>
              </w:rPr>
              <w:t>法定（授权）代表人：</w:t>
            </w:r>
          </w:p>
          <w:p w14:paraId="169C57F0">
            <w:pPr>
              <w:tabs>
                <w:tab w:val="left" w:pos="4725"/>
              </w:tabs>
              <w:rPr>
                <w:rFonts w:ascii="宋体" w:hAnsi="宋体" w:eastAsia="宋体" w:cs="宋体"/>
                <w:sz w:val="24"/>
                <w:szCs w:val="24"/>
              </w:rPr>
            </w:pPr>
          </w:p>
          <w:p w14:paraId="4E102BCB">
            <w:pPr>
              <w:tabs>
                <w:tab w:val="left" w:pos="4725"/>
              </w:tabs>
              <w:ind w:left="42" w:firstLine="960" w:firstLineChars="400"/>
              <w:rPr>
                <w:rFonts w:ascii="宋体" w:hAnsi="宋体" w:eastAsia="宋体" w:cs="宋体"/>
                <w:sz w:val="24"/>
                <w:szCs w:val="24"/>
              </w:rPr>
            </w:pPr>
            <w:r>
              <w:rPr>
                <w:rFonts w:hint="eastAsia" w:ascii="宋体" w:hAnsi="宋体" w:eastAsia="宋体" w:cs="宋体"/>
                <w:sz w:val="24"/>
                <w:szCs w:val="24"/>
              </w:rPr>
              <w:t>年     月     日</w:t>
            </w:r>
          </w:p>
        </w:tc>
        <w:tc>
          <w:tcPr>
            <w:tcW w:w="4098" w:type="dxa"/>
          </w:tcPr>
          <w:p w14:paraId="4AD09F30">
            <w:pPr>
              <w:tabs>
                <w:tab w:val="left" w:pos="4725"/>
              </w:tabs>
              <w:rPr>
                <w:rFonts w:ascii="宋体" w:hAnsi="宋体" w:eastAsia="宋体" w:cs="宋体"/>
                <w:sz w:val="24"/>
                <w:szCs w:val="24"/>
              </w:rPr>
            </w:pPr>
            <w:r>
              <w:rPr>
                <w:rFonts w:hint="eastAsia" w:ascii="宋体" w:hAnsi="宋体" w:eastAsia="宋体" w:cs="宋体"/>
                <w:sz w:val="24"/>
                <w:szCs w:val="24"/>
              </w:rPr>
              <w:t>法定（授权）代表人：</w:t>
            </w:r>
          </w:p>
          <w:p w14:paraId="177DBC11">
            <w:pPr>
              <w:tabs>
                <w:tab w:val="left" w:pos="4725"/>
              </w:tabs>
              <w:rPr>
                <w:rFonts w:ascii="宋体" w:hAnsi="宋体" w:eastAsia="宋体" w:cs="宋体"/>
                <w:sz w:val="24"/>
                <w:szCs w:val="24"/>
              </w:rPr>
            </w:pPr>
          </w:p>
          <w:p w14:paraId="6D11FEA7">
            <w:pPr>
              <w:tabs>
                <w:tab w:val="left" w:pos="4725"/>
              </w:tabs>
              <w:ind w:firstLine="1200" w:firstLineChars="500"/>
              <w:rPr>
                <w:rFonts w:ascii="宋体" w:hAnsi="宋体" w:eastAsia="宋体" w:cs="宋体"/>
                <w:sz w:val="24"/>
                <w:szCs w:val="24"/>
              </w:rPr>
            </w:pPr>
            <w:r>
              <w:rPr>
                <w:rFonts w:hint="eastAsia" w:ascii="宋体" w:hAnsi="宋体" w:eastAsia="宋体" w:cs="宋体"/>
                <w:sz w:val="24"/>
                <w:szCs w:val="24"/>
              </w:rPr>
              <w:t>年     月     日</w:t>
            </w:r>
          </w:p>
        </w:tc>
      </w:tr>
    </w:tbl>
    <w:p w14:paraId="710C32F6">
      <w:pPr>
        <w:rPr>
          <w:rFonts w:ascii="宋体" w:hAnsi="宋体" w:eastAsia="宋体" w:cs="宋体"/>
          <w:sz w:val="24"/>
          <w:szCs w:val="24"/>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0D1C">
    <w:pPr>
      <w:pStyle w:val="12"/>
      <w:ind w:firstLine="44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FFAC7BD">
                          <w:pPr>
                            <w:pStyle w:val="12"/>
                            <w:ind w:firstLine="441"/>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14:paraId="2FFAC7BD">
                    <w:pPr>
                      <w:pStyle w:val="12"/>
                      <w:ind w:firstLine="44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D8742">
    <w:pPr>
      <w:pStyle w:val="12"/>
      <w:ind w:firstLine="44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5058C">
    <w:pPr>
      <w:pStyle w:val="12"/>
      <w:ind w:firstLine="44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42A7D">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p w14:paraId="56EEF0F5">
    <w:pPr>
      <w:pStyle w:val="12"/>
    </w:pPr>
  </w:p>
  <w:p w14:paraId="34BD243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E221">
    <w:pPr>
      <w:pStyle w:val="13"/>
      <w:ind w:firstLine="441"/>
      <w:jc w:val="both"/>
    </w:pPr>
    <w:r>
      <w:rPr>
        <w:rFonts w:hint="eastAsia"/>
      </w:rPr>
      <w:t xml:space="preserve">温州市人民医院采购文件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259C">
    <w:pPr>
      <w:pStyle w:val="13"/>
      <w:ind w:firstLine="44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B33F1">
    <w:pPr>
      <w:pStyle w:val="13"/>
      <w:ind w:firstLine="44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0FF69">
    <w:pPr>
      <w:pStyle w:val="13"/>
      <w:pBdr>
        <w:bottom w:val="none" w:color="auto" w:sz="0" w:space="0"/>
      </w:pBdr>
    </w:pPr>
  </w:p>
  <w:p w14:paraId="62E3CB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19488"/>
    <w:multiLevelType w:val="singleLevel"/>
    <w:tmpl w:val="8A119488"/>
    <w:lvl w:ilvl="0" w:tentative="0">
      <w:start w:val="1"/>
      <w:numFmt w:val="chineseCounting"/>
      <w:suff w:val="nothing"/>
      <w:lvlText w:val="%1、"/>
      <w:lvlJc w:val="left"/>
      <w:rPr>
        <w:rFonts w:hint="eastAsia"/>
      </w:rPr>
    </w:lvl>
  </w:abstractNum>
  <w:abstractNum w:abstractNumId="1">
    <w:nsid w:val="90F56E74"/>
    <w:multiLevelType w:val="singleLevel"/>
    <w:tmpl w:val="90F56E74"/>
    <w:lvl w:ilvl="0" w:tentative="0">
      <w:start w:val="1"/>
      <w:numFmt w:val="decimal"/>
      <w:lvlText w:val="%1."/>
      <w:lvlJc w:val="left"/>
      <w:pPr>
        <w:ind w:left="425" w:hanging="425"/>
      </w:pPr>
      <w:rPr>
        <w:rFonts w:hint="default"/>
      </w:rPr>
    </w:lvl>
  </w:abstractNum>
  <w:abstractNum w:abstractNumId="2">
    <w:nsid w:val="93D78A93"/>
    <w:multiLevelType w:val="singleLevel"/>
    <w:tmpl w:val="93D78A93"/>
    <w:lvl w:ilvl="0" w:tentative="0">
      <w:start w:val="1"/>
      <w:numFmt w:val="decimal"/>
      <w:lvlText w:val="%1."/>
      <w:lvlJc w:val="left"/>
      <w:pPr>
        <w:ind w:left="425" w:hanging="425"/>
      </w:pPr>
      <w:rPr>
        <w:rFonts w:hint="default"/>
      </w:rPr>
    </w:lvl>
  </w:abstractNum>
  <w:abstractNum w:abstractNumId="3">
    <w:nsid w:val="94D60B5C"/>
    <w:multiLevelType w:val="singleLevel"/>
    <w:tmpl w:val="94D60B5C"/>
    <w:lvl w:ilvl="0" w:tentative="0">
      <w:start w:val="1"/>
      <w:numFmt w:val="decimal"/>
      <w:lvlText w:val="%1."/>
      <w:lvlJc w:val="left"/>
      <w:pPr>
        <w:ind w:left="425" w:hanging="425"/>
      </w:pPr>
      <w:rPr>
        <w:rFonts w:hint="default"/>
      </w:rPr>
    </w:lvl>
  </w:abstractNum>
  <w:abstractNum w:abstractNumId="4">
    <w:nsid w:val="AE352650"/>
    <w:multiLevelType w:val="singleLevel"/>
    <w:tmpl w:val="AE352650"/>
    <w:lvl w:ilvl="0" w:tentative="0">
      <w:start w:val="1"/>
      <w:numFmt w:val="decimal"/>
      <w:lvlText w:val="%1."/>
      <w:lvlJc w:val="left"/>
      <w:pPr>
        <w:ind w:left="425" w:hanging="425"/>
      </w:pPr>
      <w:rPr>
        <w:rFonts w:hint="default"/>
      </w:rPr>
    </w:lvl>
  </w:abstractNum>
  <w:abstractNum w:abstractNumId="5">
    <w:nsid w:val="BA26D0B5"/>
    <w:multiLevelType w:val="singleLevel"/>
    <w:tmpl w:val="BA26D0B5"/>
    <w:lvl w:ilvl="0" w:tentative="0">
      <w:start w:val="1"/>
      <w:numFmt w:val="decimal"/>
      <w:lvlText w:val="%1."/>
      <w:lvlJc w:val="left"/>
      <w:pPr>
        <w:ind w:left="425" w:hanging="425"/>
      </w:pPr>
      <w:rPr>
        <w:rFonts w:hint="default"/>
      </w:rPr>
    </w:lvl>
  </w:abstractNum>
  <w:abstractNum w:abstractNumId="6">
    <w:nsid w:val="DAE7F66B"/>
    <w:multiLevelType w:val="singleLevel"/>
    <w:tmpl w:val="DAE7F66B"/>
    <w:lvl w:ilvl="0" w:tentative="0">
      <w:start w:val="1"/>
      <w:numFmt w:val="decimal"/>
      <w:lvlText w:val="%1."/>
      <w:lvlJc w:val="left"/>
      <w:pPr>
        <w:ind w:left="425" w:hanging="425"/>
      </w:pPr>
      <w:rPr>
        <w:rFonts w:hint="default"/>
      </w:rPr>
    </w:lvl>
  </w:abstractNum>
  <w:abstractNum w:abstractNumId="7">
    <w:nsid w:val="DD5E8730"/>
    <w:multiLevelType w:val="singleLevel"/>
    <w:tmpl w:val="DD5E8730"/>
    <w:lvl w:ilvl="0" w:tentative="0">
      <w:start w:val="1"/>
      <w:numFmt w:val="decimal"/>
      <w:lvlText w:val="%1."/>
      <w:lvlJc w:val="left"/>
      <w:pPr>
        <w:ind w:left="425" w:hanging="425"/>
      </w:pPr>
      <w:rPr>
        <w:rFonts w:hint="default"/>
      </w:rPr>
    </w:lvl>
  </w:abstractNum>
  <w:abstractNum w:abstractNumId="8">
    <w:nsid w:val="FEEDC85B"/>
    <w:multiLevelType w:val="singleLevel"/>
    <w:tmpl w:val="FEEDC85B"/>
    <w:lvl w:ilvl="0" w:tentative="0">
      <w:start w:val="1"/>
      <w:numFmt w:val="decimal"/>
      <w:lvlText w:val="%1."/>
      <w:lvlJc w:val="left"/>
      <w:pPr>
        <w:ind w:left="425" w:hanging="425"/>
      </w:pPr>
      <w:rPr>
        <w:rFonts w:hint="default"/>
      </w:rPr>
    </w:lvl>
  </w:abstractNum>
  <w:abstractNum w:abstractNumId="9">
    <w:nsid w:val="FFFFFF88"/>
    <w:multiLevelType w:val="singleLevel"/>
    <w:tmpl w:val="FFFFFF88"/>
    <w:lvl w:ilvl="0" w:tentative="0">
      <w:start w:val="1"/>
      <w:numFmt w:val="decimal"/>
      <w:pStyle w:val="3"/>
      <w:lvlText w:val="%1."/>
      <w:lvlJc w:val="left"/>
      <w:pPr>
        <w:tabs>
          <w:tab w:val="left" w:pos="360"/>
        </w:tabs>
        <w:ind w:left="360" w:hanging="360"/>
      </w:pPr>
    </w:lvl>
  </w:abstractNum>
  <w:abstractNum w:abstractNumId="10">
    <w:nsid w:val="0107039E"/>
    <w:multiLevelType w:val="singleLevel"/>
    <w:tmpl w:val="0107039E"/>
    <w:lvl w:ilvl="0" w:tentative="0">
      <w:start w:val="1"/>
      <w:numFmt w:val="chineseCounting"/>
      <w:suff w:val="nothing"/>
      <w:lvlText w:val="（%1）"/>
      <w:lvlJc w:val="left"/>
      <w:pPr>
        <w:ind w:left="0" w:firstLine="420"/>
      </w:pPr>
      <w:rPr>
        <w:rFonts w:hint="eastAsia"/>
      </w:rPr>
    </w:lvl>
  </w:abstractNum>
  <w:abstractNum w:abstractNumId="11">
    <w:nsid w:val="11E0B0FB"/>
    <w:multiLevelType w:val="singleLevel"/>
    <w:tmpl w:val="11E0B0FB"/>
    <w:lvl w:ilvl="0" w:tentative="0">
      <w:start w:val="1"/>
      <w:numFmt w:val="decimal"/>
      <w:lvlText w:val="%1."/>
      <w:lvlJc w:val="left"/>
      <w:pPr>
        <w:ind w:left="425" w:hanging="425"/>
      </w:pPr>
      <w:rPr>
        <w:rFonts w:hint="default"/>
      </w:rPr>
    </w:lvl>
  </w:abstractNum>
  <w:abstractNum w:abstractNumId="12">
    <w:nsid w:val="12064EB5"/>
    <w:multiLevelType w:val="singleLevel"/>
    <w:tmpl w:val="12064EB5"/>
    <w:lvl w:ilvl="0" w:tentative="0">
      <w:start w:val="1"/>
      <w:numFmt w:val="chineseCounting"/>
      <w:suff w:val="nothing"/>
      <w:lvlText w:val="（%1）"/>
      <w:lvlJc w:val="left"/>
      <w:pPr>
        <w:ind w:left="0" w:firstLine="420"/>
      </w:pPr>
      <w:rPr>
        <w:rFonts w:hint="eastAsia"/>
      </w:rPr>
    </w:lvl>
  </w:abstractNum>
  <w:abstractNum w:abstractNumId="13">
    <w:nsid w:val="684ABD34"/>
    <w:multiLevelType w:val="singleLevel"/>
    <w:tmpl w:val="684ABD34"/>
    <w:lvl w:ilvl="0" w:tentative="0">
      <w:start w:val="1"/>
      <w:numFmt w:val="decimal"/>
      <w:lvlText w:val="%1."/>
      <w:lvlJc w:val="left"/>
      <w:pPr>
        <w:ind w:left="425" w:hanging="425"/>
      </w:pPr>
      <w:rPr>
        <w:rFonts w:hint="default"/>
      </w:rPr>
    </w:lvl>
  </w:abstractNum>
  <w:num w:numId="1">
    <w:abstractNumId w:val="9"/>
  </w:num>
  <w:num w:numId="2">
    <w:abstractNumId w:val="0"/>
  </w:num>
  <w:num w:numId="3">
    <w:abstractNumId w:val="12"/>
  </w:num>
  <w:num w:numId="4">
    <w:abstractNumId w:val="8"/>
  </w:num>
  <w:num w:numId="5">
    <w:abstractNumId w:val="3"/>
  </w:num>
  <w:num w:numId="6">
    <w:abstractNumId w:val="13"/>
  </w:num>
  <w:num w:numId="7">
    <w:abstractNumId w:val="6"/>
  </w:num>
  <w:num w:numId="8">
    <w:abstractNumId w:val="1"/>
  </w:num>
  <w:num w:numId="9">
    <w:abstractNumId w:val="10"/>
  </w:num>
  <w:num w:numId="10">
    <w:abstractNumId w:val="4"/>
  </w:num>
  <w:num w:numId="11">
    <w:abstractNumId w:val="11"/>
  </w:num>
  <w:num w:numId="12">
    <w:abstractNumId w:val="5"/>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NjFiNzdmMGVjOTFlYmU0ODhiNjA3ZDU3MzVhMzUifQ=="/>
  </w:docVars>
  <w:rsids>
    <w:rsidRoot w:val="004D0DCB"/>
    <w:rsid w:val="000058E9"/>
    <w:rsid w:val="00026C14"/>
    <w:rsid w:val="00032F00"/>
    <w:rsid w:val="00095046"/>
    <w:rsid w:val="000B1D57"/>
    <w:rsid w:val="000C369A"/>
    <w:rsid w:val="000D5339"/>
    <w:rsid w:val="000E65D5"/>
    <w:rsid w:val="00133DE3"/>
    <w:rsid w:val="00165BC2"/>
    <w:rsid w:val="0019655E"/>
    <w:rsid w:val="001D4AA4"/>
    <w:rsid w:val="001E4E53"/>
    <w:rsid w:val="00271989"/>
    <w:rsid w:val="002E712F"/>
    <w:rsid w:val="0033250C"/>
    <w:rsid w:val="003559CD"/>
    <w:rsid w:val="00371AD9"/>
    <w:rsid w:val="00412E28"/>
    <w:rsid w:val="00450491"/>
    <w:rsid w:val="00464FC4"/>
    <w:rsid w:val="004C0254"/>
    <w:rsid w:val="004C6FD4"/>
    <w:rsid w:val="004D0DCB"/>
    <w:rsid w:val="004E573F"/>
    <w:rsid w:val="00514142"/>
    <w:rsid w:val="005454AE"/>
    <w:rsid w:val="00584B90"/>
    <w:rsid w:val="00584FFF"/>
    <w:rsid w:val="005C0AA6"/>
    <w:rsid w:val="005F1EB0"/>
    <w:rsid w:val="005F6C50"/>
    <w:rsid w:val="00610484"/>
    <w:rsid w:val="00634EEF"/>
    <w:rsid w:val="00635349"/>
    <w:rsid w:val="006857CC"/>
    <w:rsid w:val="006962DE"/>
    <w:rsid w:val="006E4105"/>
    <w:rsid w:val="00722754"/>
    <w:rsid w:val="007308D5"/>
    <w:rsid w:val="00744441"/>
    <w:rsid w:val="007850B9"/>
    <w:rsid w:val="00891E74"/>
    <w:rsid w:val="008D584B"/>
    <w:rsid w:val="008E6551"/>
    <w:rsid w:val="00967B3B"/>
    <w:rsid w:val="00972D0B"/>
    <w:rsid w:val="009751D6"/>
    <w:rsid w:val="009C1C2D"/>
    <w:rsid w:val="009D37DD"/>
    <w:rsid w:val="009D49DE"/>
    <w:rsid w:val="00AB3102"/>
    <w:rsid w:val="00B90B50"/>
    <w:rsid w:val="00B927C3"/>
    <w:rsid w:val="00BC7A41"/>
    <w:rsid w:val="00BE760D"/>
    <w:rsid w:val="00BF7607"/>
    <w:rsid w:val="00C14761"/>
    <w:rsid w:val="00C51BA1"/>
    <w:rsid w:val="00CA32C6"/>
    <w:rsid w:val="00CB532A"/>
    <w:rsid w:val="00CD1E8D"/>
    <w:rsid w:val="00D30618"/>
    <w:rsid w:val="00D932B6"/>
    <w:rsid w:val="00DA17D2"/>
    <w:rsid w:val="00DE7950"/>
    <w:rsid w:val="00E12509"/>
    <w:rsid w:val="00E20644"/>
    <w:rsid w:val="00E44623"/>
    <w:rsid w:val="00E95B1D"/>
    <w:rsid w:val="00EC22A5"/>
    <w:rsid w:val="00F102FF"/>
    <w:rsid w:val="00F7297E"/>
    <w:rsid w:val="00F863CA"/>
    <w:rsid w:val="00FA2A8C"/>
    <w:rsid w:val="00FB31B0"/>
    <w:rsid w:val="00FC7AF4"/>
    <w:rsid w:val="01814715"/>
    <w:rsid w:val="02D8427D"/>
    <w:rsid w:val="03011BBD"/>
    <w:rsid w:val="0338652B"/>
    <w:rsid w:val="040A739D"/>
    <w:rsid w:val="04491B99"/>
    <w:rsid w:val="04C812AE"/>
    <w:rsid w:val="05D07C63"/>
    <w:rsid w:val="08971FFA"/>
    <w:rsid w:val="0A3A5566"/>
    <w:rsid w:val="0ACD232D"/>
    <w:rsid w:val="0AF47A97"/>
    <w:rsid w:val="0B13248D"/>
    <w:rsid w:val="0B1E1C1E"/>
    <w:rsid w:val="0BD44453"/>
    <w:rsid w:val="0D3A1F53"/>
    <w:rsid w:val="0D4461B5"/>
    <w:rsid w:val="0E056A05"/>
    <w:rsid w:val="0E3B3BDF"/>
    <w:rsid w:val="0F9F1367"/>
    <w:rsid w:val="112076B2"/>
    <w:rsid w:val="11561AE4"/>
    <w:rsid w:val="12644928"/>
    <w:rsid w:val="12DF6F96"/>
    <w:rsid w:val="133A1B74"/>
    <w:rsid w:val="13A4175E"/>
    <w:rsid w:val="168F3177"/>
    <w:rsid w:val="175957EF"/>
    <w:rsid w:val="181F06C4"/>
    <w:rsid w:val="184572D6"/>
    <w:rsid w:val="187D364E"/>
    <w:rsid w:val="18FE4C21"/>
    <w:rsid w:val="18FF465F"/>
    <w:rsid w:val="19735E5C"/>
    <w:rsid w:val="198C1D89"/>
    <w:rsid w:val="1AAD5B7D"/>
    <w:rsid w:val="1C4C5FF3"/>
    <w:rsid w:val="1D305D3E"/>
    <w:rsid w:val="1DBE7BC5"/>
    <w:rsid w:val="1DFE533A"/>
    <w:rsid w:val="21C00B23"/>
    <w:rsid w:val="21F44DAC"/>
    <w:rsid w:val="22A60D89"/>
    <w:rsid w:val="22CC58EC"/>
    <w:rsid w:val="23640B9A"/>
    <w:rsid w:val="23BF6929"/>
    <w:rsid w:val="244C20E6"/>
    <w:rsid w:val="245B614D"/>
    <w:rsid w:val="253201D9"/>
    <w:rsid w:val="25AC5399"/>
    <w:rsid w:val="25C5258E"/>
    <w:rsid w:val="25EE202B"/>
    <w:rsid w:val="268877A1"/>
    <w:rsid w:val="270D1D22"/>
    <w:rsid w:val="27985E53"/>
    <w:rsid w:val="27ED1A69"/>
    <w:rsid w:val="28073437"/>
    <w:rsid w:val="28176AEB"/>
    <w:rsid w:val="289A05C6"/>
    <w:rsid w:val="28CE5F2B"/>
    <w:rsid w:val="28ED236C"/>
    <w:rsid w:val="293F0351"/>
    <w:rsid w:val="2ADC5E6F"/>
    <w:rsid w:val="2B2362C5"/>
    <w:rsid w:val="2BA203E2"/>
    <w:rsid w:val="2C0606D5"/>
    <w:rsid w:val="2CAE160E"/>
    <w:rsid w:val="2EF97A69"/>
    <w:rsid w:val="2F133EA8"/>
    <w:rsid w:val="2FDA6149"/>
    <w:rsid w:val="306578EE"/>
    <w:rsid w:val="30A54A09"/>
    <w:rsid w:val="31CD40BC"/>
    <w:rsid w:val="31CE7FE2"/>
    <w:rsid w:val="31F514A4"/>
    <w:rsid w:val="33396201"/>
    <w:rsid w:val="33F6027F"/>
    <w:rsid w:val="34E2755D"/>
    <w:rsid w:val="396F36C9"/>
    <w:rsid w:val="3AAA0A09"/>
    <w:rsid w:val="3C312E3A"/>
    <w:rsid w:val="3C9B5E7D"/>
    <w:rsid w:val="3D923E3C"/>
    <w:rsid w:val="3D956033"/>
    <w:rsid w:val="3DC61E40"/>
    <w:rsid w:val="3E0871A3"/>
    <w:rsid w:val="3E66054B"/>
    <w:rsid w:val="3F6A2C89"/>
    <w:rsid w:val="40520EC7"/>
    <w:rsid w:val="408829FA"/>
    <w:rsid w:val="40C63F0D"/>
    <w:rsid w:val="41B108CB"/>
    <w:rsid w:val="41B45A71"/>
    <w:rsid w:val="41EC28B2"/>
    <w:rsid w:val="42004B46"/>
    <w:rsid w:val="43FD5964"/>
    <w:rsid w:val="44100641"/>
    <w:rsid w:val="44450C02"/>
    <w:rsid w:val="44B07ABD"/>
    <w:rsid w:val="45854D31"/>
    <w:rsid w:val="45C97194"/>
    <w:rsid w:val="45E615FB"/>
    <w:rsid w:val="45EB708F"/>
    <w:rsid w:val="46402205"/>
    <w:rsid w:val="464D41CF"/>
    <w:rsid w:val="467C4DAF"/>
    <w:rsid w:val="49BC695B"/>
    <w:rsid w:val="49BD2BBB"/>
    <w:rsid w:val="49DE31C6"/>
    <w:rsid w:val="49E44855"/>
    <w:rsid w:val="4B147669"/>
    <w:rsid w:val="4B8E3AF9"/>
    <w:rsid w:val="4C7A612B"/>
    <w:rsid w:val="4D387556"/>
    <w:rsid w:val="4E5D1142"/>
    <w:rsid w:val="4E7D45AB"/>
    <w:rsid w:val="4E97524A"/>
    <w:rsid w:val="50E86771"/>
    <w:rsid w:val="515D6A9F"/>
    <w:rsid w:val="51AF51A3"/>
    <w:rsid w:val="52445FCA"/>
    <w:rsid w:val="5294612B"/>
    <w:rsid w:val="53C70A8B"/>
    <w:rsid w:val="549E264E"/>
    <w:rsid w:val="552F7491"/>
    <w:rsid w:val="55B932BC"/>
    <w:rsid w:val="571A3C3F"/>
    <w:rsid w:val="57912FBF"/>
    <w:rsid w:val="581C129A"/>
    <w:rsid w:val="594C6863"/>
    <w:rsid w:val="5A2E41BB"/>
    <w:rsid w:val="5A9A355D"/>
    <w:rsid w:val="5AB3021C"/>
    <w:rsid w:val="5B8A794F"/>
    <w:rsid w:val="5BAA1B47"/>
    <w:rsid w:val="5C2117A7"/>
    <w:rsid w:val="5C5A4C1C"/>
    <w:rsid w:val="5CD913A8"/>
    <w:rsid w:val="5D246CC2"/>
    <w:rsid w:val="5E767EDE"/>
    <w:rsid w:val="5E79177D"/>
    <w:rsid w:val="5EB06716"/>
    <w:rsid w:val="613F5B27"/>
    <w:rsid w:val="616F1563"/>
    <w:rsid w:val="631D2902"/>
    <w:rsid w:val="63310878"/>
    <w:rsid w:val="63F77F73"/>
    <w:rsid w:val="63FB0ABB"/>
    <w:rsid w:val="6458783B"/>
    <w:rsid w:val="64761893"/>
    <w:rsid w:val="64F809AE"/>
    <w:rsid w:val="659D21F5"/>
    <w:rsid w:val="67310694"/>
    <w:rsid w:val="67337219"/>
    <w:rsid w:val="68AA5354"/>
    <w:rsid w:val="68AF6A1F"/>
    <w:rsid w:val="696B7532"/>
    <w:rsid w:val="6A786D8C"/>
    <w:rsid w:val="6ACF3458"/>
    <w:rsid w:val="6AE3048B"/>
    <w:rsid w:val="6EA2154D"/>
    <w:rsid w:val="6FF8711A"/>
    <w:rsid w:val="705727A1"/>
    <w:rsid w:val="70EC787D"/>
    <w:rsid w:val="73DE2130"/>
    <w:rsid w:val="75341EF6"/>
    <w:rsid w:val="75993335"/>
    <w:rsid w:val="75AA1299"/>
    <w:rsid w:val="770C0F88"/>
    <w:rsid w:val="78E25185"/>
    <w:rsid w:val="79F25E0C"/>
    <w:rsid w:val="7ADD380E"/>
    <w:rsid w:val="7B803CF3"/>
    <w:rsid w:val="7BB66AE1"/>
    <w:rsid w:val="7BD4685F"/>
    <w:rsid w:val="7C461DF5"/>
    <w:rsid w:val="7D7E52A5"/>
    <w:rsid w:val="7E273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jc w:val="center"/>
      <w:outlineLvl w:val="0"/>
    </w:pPr>
    <w:rPr>
      <w:b/>
      <w:bCs/>
      <w:kern w:val="44"/>
      <w:sz w:val="30"/>
      <w:szCs w:val="44"/>
    </w:rPr>
  </w:style>
  <w:style w:type="paragraph" w:styleId="3">
    <w:name w:val="heading 2"/>
    <w:basedOn w:val="1"/>
    <w:next w:val="4"/>
    <w:link w:val="23"/>
    <w:autoRedefine/>
    <w:qFormat/>
    <w:uiPriority w:val="0"/>
    <w:pPr>
      <w:keepNext/>
      <w:keepLines/>
      <w:numPr>
        <w:ilvl w:val="0"/>
        <w:numId w:val="1"/>
      </w:numPr>
      <w:tabs>
        <w:tab w:val="left" w:pos="1145"/>
      </w:tabs>
      <w:spacing w:before="260" w:after="260" w:line="416" w:lineRule="auto"/>
      <w:outlineLvl w:val="1"/>
    </w:pPr>
    <w:rPr>
      <w:rFonts w:ascii="Arial" w:hAnsi="Arial" w:eastAsia="黑体" w:cs="Times New Roman"/>
      <w:b/>
      <w:sz w:val="32"/>
      <w:szCs w:val="20"/>
      <w:lang w:val="zh-CN"/>
    </w:rPr>
  </w:style>
  <w:style w:type="paragraph" w:styleId="5">
    <w:name w:val="heading 4"/>
    <w:basedOn w:val="1"/>
    <w:next w:val="1"/>
    <w:autoRedefine/>
    <w:qFormat/>
    <w:uiPriority w:val="0"/>
    <w:pPr>
      <w:keepNext/>
      <w:keepLines/>
      <w:spacing w:line="540" w:lineRule="atLeast"/>
      <w:outlineLvl w:val="3"/>
    </w:pPr>
    <w:rPr>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semiHidden/>
    <w:unhideWhenUsed/>
    <w:qFormat/>
    <w:uiPriority w:val="99"/>
    <w:pPr>
      <w:ind w:firstLine="420" w:firstLineChars="200"/>
    </w:pPr>
  </w:style>
  <w:style w:type="paragraph" w:styleId="6">
    <w:name w:val="Body Text"/>
    <w:basedOn w:val="1"/>
    <w:next w:val="7"/>
    <w:autoRedefine/>
    <w:qFormat/>
    <w:uiPriority w:val="99"/>
    <w:pPr>
      <w:spacing w:after="120"/>
    </w:pPr>
    <w:rPr>
      <w:rFonts w:eastAsia="等线"/>
    </w:rPr>
  </w:style>
  <w:style w:type="paragraph" w:styleId="7">
    <w:name w:val="Body Text First Indent"/>
    <w:basedOn w:val="6"/>
    <w:next w:val="8"/>
    <w:autoRedefine/>
    <w:qFormat/>
    <w:uiPriority w:val="99"/>
    <w:pPr>
      <w:ind w:firstLine="420" w:firstLineChars="100"/>
    </w:pPr>
  </w:style>
  <w:style w:type="paragraph" w:styleId="8">
    <w:name w:val="toc 6"/>
    <w:basedOn w:val="1"/>
    <w:next w:val="1"/>
    <w:autoRedefine/>
    <w:qFormat/>
    <w:uiPriority w:val="39"/>
    <w:pPr>
      <w:ind w:left="1050"/>
    </w:pPr>
    <w:rPr>
      <w:sz w:val="18"/>
    </w:rPr>
  </w:style>
  <w:style w:type="paragraph" w:styleId="9">
    <w:name w:val="Body Text Indent"/>
    <w:basedOn w:val="1"/>
    <w:autoRedefine/>
    <w:qFormat/>
    <w:uiPriority w:val="0"/>
    <w:pPr>
      <w:ind w:left="480" w:hanging="480" w:hangingChars="200"/>
    </w:pPr>
    <w:rPr>
      <w:sz w:val="24"/>
    </w:rPr>
  </w:style>
  <w:style w:type="paragraph" w:styleId="10">
    <w:name w:val="Plain Text"/>
    <w:basedOn w:val="1"/>
    <w:link w:val="25"/>
    <w:autoRedefine/>
    <w:qFormat/>
    <w:uiPriority w:val="0"/>
    <w:rPr>
      <w:rFonts w:ascii="宋体" w:hAnsi="Courier New" w:eastAsia="宋体"/>
    </w:rPr>
  </w:style>
  <w:style w:type="paragraph" w:styleId="11">
    <w:name w:val="Balloon Text"/>
    <w:basedOn w:val="1"/>
    <w:link w:val="29"/>
    <w:semiHidden/>
    <w:unhideWhenUsed/>
    <w:qFormat/>
    <w:uiPriority w:val="99"/>
    <w:rPr>
      <w:sz w:val="18"/>
      <w:szCs w:val="18"/>
    </w:rPr>
  </w:style>
  <w:style w:type="paragraph" w:styleId="12">
    <w:name w:val="footer"/>
    <w:basedOn w:val="1"/>
    <w:link w:val="20"/>
    <w:autoRedefine/>
    <w:unhideWhenUsed/>
    <w:qFormat/>
    <w:uiPriority w:val="99"/>
    <w:pPr>
      <w:tabs>
        <w:tab w:val="center" w:pos="4153"/>
        <w:tab w:val="right" w:pos="8306"/>
      </w:tabs>
      <w:snapToGrid w:val="0"/>
      <w:jc w:val="left"/>
    </w:pPr>
    <w:rPr>
      <w:sz w:val="18"/>
      <w:szCs w:val="18"/>
    </w:rPr>
  </w:style>
  <w:style w:type="paragraph" w:styleId="13">
    <w:name w:val="header"/>
    <w:basedOn w:val="1"/>
    <w:link w:val="1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0"/>
    <w:pPr>
      <w:widowControl/>
      <w:shd w:val="clear" w:color="auto" w:fill="FFFFFF"/>
      <w:spacing w:line="360" w:lineRule="auto"/>
      <w:jc w:val="center"/>
    </w:pPr>
    <w:rPr>
      <w:rFonts w:ascii="宋体" w:hAnsi="宋体" w:eastAsia="宋体" w:cs="宋体"/>
      <w:kern w:val="0"/>
      <w:sz w:val="24"/>
      <w:szCs w:val="24"/>
    </w:rPr>
  </w:style>
  <w:style w:type="table" w:styleId="16">
    <w:name w:val="Table Grid"/>
    <w:basedOn w:val="1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autoRedefine/>
    <w:qFormat/>
    <w:uiPriority w:val="0"/>
    <w:rPr>
      <w:sz w:val="21"/>
      <w:szCs w:val="21"/>
    </w:rPr>
  </w:style>
  <w:style w:type="character" w:customStyle="1" w:styleId="19">
    <w:name w:val="页眉 Char"/>
    <w:basedOn w:val="17"/>
    <w:link w:val="13"/>
    <w:autoRedefine/>
    <w:qFormat/>
    <w:uiPriority w:val="99"/>
    <w:rPr>
      <w:sz w:val="18"/>
      <w:szCs w:val="18"/>
    </w:rPr>
  </w:style>
  <w:style w:type="character" w:customStyle="1" w:styleId="20">
    <w:name w:val="页脚 Char1"/>
    <w:basedOn w:val="17"/>
    <w:link w:val="12"/>
    <w:autoRedefine/>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标题 2 字符"/>
    <w:basedOn w:val="17"/>
    <w:autoRedefine/>
    <w:semiHidden/>
    <w:qFormat/>
    <w:uiPriority w:val="9"/>
    <w:rPr>
      <w:rFonts w:asciiTheme="majorHAnsi" w:hAnsiTheme="majorHAnsi" w:eastAsiaTheme="majorEastAsia" w:cstheme="majorBidi"/>
      <w:b/>
      <w:bCs/>
      <w:sz w:val="32"/>
      <w:szCs w:val="32"/>
    </w:rPr>
  </w:style>
  <w:style w:type="character" w:customStyle="1" w:styleId="23">
    <w:name w:val="标题 2 Char"/>
    <w:link w:val="3"/>
    <w:autoRedefine/>
    <w:qFormat/>
    <w:uiPriority w:val="0"/>
    <w:rPr>
      <w:rFonts w:ascii="Arial" w:hAnsi="Arial" w:eastAsia="黑体" w:cs="Times New Roman"/>
      <w:b/>
      <w:sz w:val="32"/>
      <w:szCs w:val="20"/>
      <w:lang w:val="zh-CN" w:eastAsia="zh-CN"/>
    </w:rPr>
  </w:style>
  <w:style w:type="paragraph" w:customStyle="1" w:styleId="24">
    <w:name w:val="正文段"/>
    <w:basedOn w:val="1"/>
    <w:autoRedefine/>
    <w:qFormat/>
    <w:uiPriority w:val="0"/>
    <w:pPr>
      <w:widowControl/>
      <w:snapToGrid w:val="0"/>
      <w:spacing w:after="50" w:afterLines="50"/>
      <w:ind w:firstLine="200" w:firstLineChars="200"/>
    </w:pPr>
    <w:rPr>
      <w:rFonts w:ascii="Times New Roman" w:hAnsi="Times New Roman" w:eastAsia="宋体" w:cs="Times New Roman"/>
      <w:kern w:val="0"/>
      <w:sz w:val="24"/>
      <w:szCs w:val="20"/>
    </w:rPr>
  </w:style>
  <w:style w:type="character" w:customStyle="1" w:styleId="25">
    <w:name w:val="纯文本 Char"/>
    <w:link w:val="10"/>
    <w:autoRedefine/>
    <w:qFormat/>
    <w:uiPriority w:val="0"/>
    <w:rPr>
      <w:rFonts w:ascii="宋体" w:hAnsi="Courier New" w:eastAsia="宋体"/>
    </w:rPr>
  </w:style>
  <w:style w:type="character" w:customStyle="1" w:styleId="26">
    <w:name w:val="纯文本 字符"/>
    <w:basedOn w:val="17"/>
    <w:autoRedefine/>
    <w:semiHidden/>
    <w:qFormat/>
    <w:uiPriority w:val="99"/>
    <w:rPr>
      <w:rFonts w:hAnsi="Courier New" w:cs="Courier New" w:asciiTheme="minorEastAsia"/>
    </w:rPr>
  </w:style>
  <w:style w:type="character" w:customStyle="1" w:styleId="27">
    <w:name w:val="页脚 Char"/>
    <w:autoRedefine/>
    <w:qFormat/>
    <w:uiPriority w:val="99"/>
    <w:rPr>
      <w:kern w:val="2"/>
      <w:sz w:val="18"/>
      <w:szCs w:val="18"/>
    </w:rPr>
  </w:style>
  <w:style w:type="paragraph" w:customStyle="1" w:styleId="28">
    <w:name w:val="_Style 19"/>
    <w:basedOn w:val="1"/>
    <w:next w:val="21"/>
    <w:autoRedefine/>
    <w:qFormat/>
    <w:uiPriority w:val="34"/>
    <w:pPr>
      <w:ind w:firstLine="420" w:firstLineChars="200"/>
    </w:pPr>
    <w:rPr>
      <w:rFonts w:ascii="等线" w:hAnsi="等线" w:eastAsia="等线" w:cs="Times New Roman"/>
    </w:rPr>
  </w:style>
  <w:style w:type="character" w:customStyle="1" w:styleId="29">
    <w:name w:val="批注框文本 Char"/>
    <w:basedOn w:val="17"/>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2758</Words>
  <Characters>2868</Characters>
  <Lines>68</Lines>
  <Paragraphs>19</Paragraphs>
  <TotalTime>6</TotalTime>
  <ScaleCrop>false</ScaleCrop>
  <LinksUpToDate>false</LinksUpToDate>
  <CharactersWithSpaces>3225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2023-06-29T06:46:00Z</dcterms:created>
  <dc:creator>user</dc:creator>
  <cp:lastModifiedBy>周</cp:lastModifiedBy>
  <cp:lastPrinted>2026-04-18T05:40:00Z</cp:lastPrinted>
  <dcterms:modified xsi:type="dcterms:W3CDTF">2026-04-23T06:07:23Z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550A2AFE35814C9D97AAB37BF567B5B8_13</vt:lpwstr>
  </property>
  <property fmtid="{D5CDD505-2E9C-101B-9397-08002B2CF9AE}" pid="4" name="KSOTemplateDocerSaveRecord">
    <vt:lpwstr>eyJoZGlkIjoiZGMzNjFiNzdmMGVjOTFlYmU0ODhiNjA3ZDU3MzVhMzUiLCJ1c2VySWQiOiI0NzgyMzA4NTAifQ==</vt:lpwstr>
  </property>
</Properties>
</file>