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D305B6">
      <w:pPr>
        <w:pStyle w:val="3"/>
        <w:rPr>
          <w:rFonts w:hAnsi="宋体"/>
          <w:sz w:val="36"/>
          <w:szCs w:val="36"/>
        </w:rPr>
      </w:pPr>
      <w:bookmarkStart w:id="0" w:name="_Toc394042589"/>
      <w:bookmarkStart w:id="1" w:name="_Toc399319003"/>
      <w:r>
        <w:rPr>
          <w:rFonts w:hAnsi="宋体"/>
          <w:sz w:val="36"/>
          <w:szCs w:val="36"/>
        </w:rPr>
        <w:t>暂停</w:t>
      </w:r>
      <w:r>
        <w:rPr>
          <w:sz w:val="36"/>
          <w:szCs w:val="36"/>
        </w:rPr>
        <w:t>/</w:t>
      </w:r>
      <w:r>
        <w:rPr>
          <w:rFonts w:hAnsi="宋体"/>
          <w:sz w:val="36"/>
          <w:szCs w:val="36"/>
        </w:rPr>
        <w:t>终止研究报告</w:t>
      </w:r>
      <w:bookmarkEnd w:id="0"/>
      <w:bookmarkEnd w:id="1"/>
    </w:p>
    <w:tbl>
      <w:tblPr>
        <w:tblStyle w:val="8"/>
        <w:tblW w:w="10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441"/>
        <w:gridCol w:w="2539"/>
        <w:gridCol w:w="741"/>
        <w:gridCol w:w="1798"/>
        <w:gridCol w:w="246"/>
        <w:gridCol w:w="2296"/>
      </w:tblGrid>
      <w:tr w14:paraId="5420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098" w:type="dxa"/>
            <w:noWrap w:val="0"/>
            <w:vAlign w:val="center"/>
          </w:tcPr>
          <w:p w14:paraId="66BB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项目名称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59D10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</w:p>
        </w:tc>
      </w:tr>
      <w:tr w14:paraId="038C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098" w:type="dxa"/>
            <w:noWrap w:val="0"/>
            <w:vAlign w:val="center"/>
          </w:tcPr>
          <w:p w14:paraId="1D68E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申办者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230DF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21B2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098" w:type="dxa"/>
            <w:noWrap w:val="0"/>
            <w:vAlign w:val="center"/>
          </w:tcPr>
          <w:p w14:paraId="04128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主要研究者</w:t>
            </w:r>
          </w:p>
        </w:tc>
        <w:tc>
          <w:tcPr>
            <w:tcW w:w="3721" w:type="dxa"/>
            <w:gridSpan w:val="3"/>
            <w:noWrap w:val="0"/>
            <w:vAlign w:val="center"/>
          </w:tcPr>
          <w:p w14:paraId="0E755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noWrap w:val="0"/>
            <w:vAlign w:val="center"/>
          </w:tcPr>
          <w:p w14:paraId="5817B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申请专业</w:t>
            </w:r>
          </w:p>
        </w:tc>
        <w:tc>
          <w:tcPr>
            <w:tcW w:w="2296" w:type="dxa"/>
            <w:noWrap w:val="0"/>
            <w:vAlign w:val="center"/>
          </w:tcPr>
          <w:p w14:paraId="43CFB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0167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098" w:type="dxa"/>
            <w:noWrap w:val="0"/>
            <w:vAlign w:val="center"/>
          </w:tcPr>
          <w:p w14:paraId="60E6D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原伦理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批件号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40B2D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6F0D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1" w:hRule="atLeast"/>
          <w:jc w:val="center"/>
        </w:trPr>
        <w:tc>
          <w:tcPr>
            <w:tcW w:w="10159" w:type="dxa"/>
            <w:gridSpan w:val="7"/>
            <w:noWrap w:val="0"/>
            <w:vAlign w:val="center"/>
          </w:tcPr>
          <w:p w14:paraId="6FDC1786">
            <w:pPr>
              <w:spacing w:line="360" w:lineRule="auto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/>
                <w:b/>
                <w:bCs/>
                <w:sz w:val="24"/>
                <w:szCs w:val="24"/>
              </w:rPr>
              <w:t>一、一般信息</w:t>
            </w:r>
          </w:p>
          <w:p w14:paraId="59FFF200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  <w:t>研究阶段：□尚未入组 □已入组，正在实施研究 □完成入组，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  <w:t xml:space="preserve">研究干预尚未完成 </w:t>
            </w:r>
          </w:p>
          <w:p w14:paraId="6BA1163D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□试验参与者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  <w:t>研究干预已经完成 □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  <w:t>随访已经完成 □后期数据处理阶段</w:t>
            </w:r>
          </w:p>
          <w:p w14:paraId="76323915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2、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研究开始日期：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2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2"/>
                <w:szCs w:val="22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 xml:space="preserve">  </w:t>
            </w:r>
          </w:p>
          <w:p w14:paraId="3C4A9B2C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 xml:space="preserve">3、研究报告申请类型： 申办者提出：   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暂停研究，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终止研究；</w:t>
            </w:r>
          </w:p>
          <w:p w14:paraId="13174853">
            <w:pPr>
              <w:numPr>
                <w:ilvl w:val="-1"/>
                <w:numId w:val="0"/>
              </w:numPr>
              <w:spacing w:line="360" w:lineRule="auto"/>
              <w:ind w:left="0" w:firstLine="2420" w:firstLineChars="1100"/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 xml:space="preserve">研究者提出：   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暂停研究，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终止研究。</w:t>
            </w:r>
          </w:p>
          <w:p w14:paraId="417A0C19">
            <w:pPr>
              <w:numPr>
                <w:ilvl w:val="-1"/>
                <w:numId w:val="0"/>
              </w:numPr>
              <w:spacing w:line="360" w:lineRule="auto"/>
              <w:ind w:left="0" w:firstLine="0" w:firstLineChars="0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4、对在研试验参与者后续安排</w:t>
            </w:r>
          </w:p>
          <w:p w14:paraId="2D9D0557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停止纳入新的试验参与者，在研的试验参与者继续完成研究干预和随访；</w:t>
            </w:r>
          </w:p>
          <w:p w14:paraId="30E265CE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 xml:space="preserve">停止研究相关的干预，研究仅是对试验参与者的跟踪随访；              </w:t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其他：</w:t>
            </w:r>
          </w:p>
          <w:p w14:paraId="2927C499">
            <w:pPr>
              <w:numPr>
                <w:ilvl w:val="0"/>
                <w:numId w:val="1"/>
              </w:numPr>
              <w:spacing w:line="360" w:lineRule="auto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int="eastAsia" w:hAnsi="宋体"/>
                <w:b/>
                <w:bCs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b/>
                <w:bCs/>
                <w:sz w:val="24"/>
                <w:szCs w:val="24"/>
              </w:rPr>
              <w:t>信息</w:t>
            </w:r>
          </w:p>
          <w:tbl>
            <w:tblPr>
              <w:tblStyle w:val="9"/>
              <w:tblW w:w="9816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90"/>
              <w:gridCol w:w="1050"/>
              <w:gridCol w:w="1664"/>
              <w:gridCol w:w="1789"/>
              <w:gridCol w:w="1664"/>
              <w:gridCol w:w="1759"/>
            </w:tblGrid>
            <w:tr w14:paraId="440482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890" w:type="dxa"/>
                  <w:vMerge w:val="restart"/>
                </w:tcPr>
                <w:p w14:paraId="4C7808DB">
                  <w:pPr>
                    <w:numPr>
                      <w:ilvl w:val="0"/>
                      <w:numId w:val="0"/>
                    </w:numPr>
                    <w:spacing w:line="60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Ansi="宋体"/>
                      <w:sz w:val="22"/>
                      <w:szCs w:val="22"/>
                    </w:rPr>
                    <w:t>合同研究总例数</w:t>
                  </w:r>
                </w:p>
              </w:tc>
              <w:tc>
                <w:tcPr>
                  <w:tcW w:w="1050" w:type="dxa"/>
                  <w:vMerge w:val="restart"/>
                </w:tcPr>
                <w:p w14:paraId="19E90EDD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</w:p>
              </w:tc>
              <w:tc>
                <w:tcPr>
                  <w:tcW w:w="1664" w:type="dxa"/>
                </w:tcPr>
                <w:p w14:paraId="45F968EF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Ansi="宋体"/>
                      <w:sz w:val="22"/>
                      <w:szCs w:val="22"/>
                    </w:rPr>
                    <w:t>已入组例数</w:t>
                  </w:r>
                </w:p>
              </w:tc>
              <w:tc>
                <w:tcPr>
                  <w:tcW w:w="1789" w:type="dxa"/>
                </w:tcPr>
                <w:p w14:paraId="762D2A11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664" w:type="dxa"/>
                </w:tcPr>
                <w:p w14:paraId="1723D41F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Ansi="宋体"/>
                      <w:sz w:val="22"/>
                      <w:szCs w:val="22"/>
                    </w:rPr>
                    <w:t>完成观察例数</w:t>
                  </w:r>
                </w:p>
              </w:tc>
              <w:tc>
                <w:tcPr>
                  <w:tcW w:w="1759" w:type="dxa"/>
                </w:tcPr>
                <w:p w14:paraId="491E22BF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4AF5F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890" w:type="dxa"/>
                  <w:vMerge w:val="continue"/>
                </w:tcPr>
                <w:p w14:paraId="53C9B663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</w:p>
              </w:tc>
              <w:tc>
                <w:tcPr>
                  <w:tcW w:w="1050" w:type="dxa"/>
                  <w:vMerge w:val="continue"/>
                </w:tcPr>
                <w:p w14:paraId="01DB05A3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</w:p>
              </w:tc>
              <w:tc>
                <w:tcPr>
                  <w:tcW w:w="1664" w:type="dxa"/>
                </w:tcPr>
                <w:p w14:paraId="73D0DC74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Ansi="宋体"/>
                      <w:sz w:val="22"/>
                      <w:szCs w:val="22"/>
                    </w:rPr>
                    <w:t>提前退出例数</w:t>
                  </w:r>
                </w:p>
              </w:tc>
              <w:tc>
                <w:tcPr>
                  <w:tcW w:w="1789" w:type="dxa"/>
                </w:tcPr>
                <w:p w14:paraId="47FE55A0">
                  <w:pPr>
                    <w:numPr>
                      <w:ilvl w:val="0"/>
                      <w:numId w:val="0"/>
                    </w:numPr>
                    <w:spacing w:line="360" w:lineRule="auto"/>
                    <w:jc w:val="both"/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</w:rPr>
                    <w:t>（另附一览表）</w:t>
                  </w:r>
                </w:p>
              </w:tc>
              <w:tc>
                <w:tcPr>
                  <w:tcW w:w="1664" w:type="dxa"/>
                </w:tcPr>
                <w:p w14:paraId="5DFA24BA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int="eastAsia" w:hAnsi="宋体"/>
                      <w:sz w:val="22"/>
                      <w:szCs w:val="22"/>
                      <w:lang w:val="en-US" w:eastAsia="zh-CN"/>
                    </w:rPr>
                    <w:t>本院SAE</w:t>
                  </w:r>
                  <w:r>
                    <w:rPr>
                      <w:rFonts w:hint="eastAsia" w:hAnsi="宋体"/>
                      <w:sz w:val="22"/>
                      <w:szCs w:val="22"/>
                    </w:rPr>
                    <w:t>例数</w:t>
                  </w:r>
                </w:p>
              </w:tc>
              <w:tc>
                <w:tcPr>
                  <w:tcW w:w="1759" w:type="dxa"/>
                </w:tcPr>
                <w:p w14:paraId="2E7B93EC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</w:rPr>
                  </w:pPr>
                  <w:r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  <w:lang w:val="en-US" w:eastAsia="zh-CN"/>
                    </w:rPr>
                    <w:t>（另附一览表）</w:t>
                  </w:r>
                </w:p>
              </w:tc>
            </w:tr>
            <w:tr w14:paraId="3A8190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3" w:hRule="atLeast"/>
              </w:trPr>
              <w:tc>
                <w:tcPr>
                  <w:tcW w:w="1890" w:type="dxa"/>
                  <w:vMerge w:val="continue"/>
                </w:tcPr>
                <w:p w14:paraId="0BECBDEF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</w:p>
              </w:tc>
              <w:tc>
                <w:tcPr>
                  <w:tcW w:w="1050" w:type="dxa"/>
                  <w:vMerge w:val="continue"/>
                </w:tcPr>
                <w:p w14:paraId="665EA693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Ansi="宋体"/>
                      <w:b/>
                      <w:bCs/>
                      <w:sz w:val="22"/>
                      <w:szCs w:val="22"/>
                      <w:vertAlign w:val="baseline"/>
                    </w:rPr>
                  </w:pPr>
                </w:p>
              </w:tc>
              <w:tc>
                <w:tcPr>
                  <w:tcW w:w="1664" w:type="dxa"/>
                </w:tcPr>
                <w:p w14:paraId="1981D539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hAnsi="宋体" w:eastAsia="宋体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2"/>
                      <w:szCs w:val="22"/>
                      <w:lang w:val="en-US" w:eastAsia="zh-CN"/>
                    </w:rPr>
                    <w:t>偏离事件例数</w:t>
                  </w:r>
                </w:p>
              </w:tc>
              <w:tc>
                <w:tcPr>
                  <w:tcW w:w="5212" w:type="dxa"/>
                  <w:gridSpan w:val="3"/>
                </w:tcPr>
                <w:p w14:paraId="39CBCE26"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hAnsi="宋体" w:eastAsia="宋体"/>
                      <w:b w:val="0"/>
                      <w:bCs w:val="0"/>
                      <w:sz w:val="22"/>
                      <w:szCs w:val="2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b w:val="0"/>
                      <w:bCs w:val="0"/>
                      <w:sz w:val="22"/>
                      <w:szCs w:val="22"/>
                      <w:vertAlign w:val="baseline"/>
                      <w:lang w:val="en-US" w:eastAsia="zh-CN"/>
                    </w:rPr>
                    <w:t>（另附一览表）</w:t>
                  </w:r>
                </w:p>
              </w:tc>
            </w:tr>
          </w:tbl>
          <w:p w14:paraId="42D63924">
            <w:pPr>
              <w:numPr>
                <w:ilvl w:val="0"/>
                <w:numId w:val="2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Ansi="宋体"/>
                <w:b/>
                <w:bCs/>
                <w:sz w:val="24"/>
                <w:szCs w:val="24"/>
              </w:rPr>
              <w:t>暂停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rFonts w:hAnsi="宋体"/>
                <w:b/>
                <w:bCs/>
                <w:sz w:val="24"/>
                <w:szCs w:val="24"/>
              </w:rPr>
              <w:t>终止研究的原因</w:t>
            </w:r>
          </w:p>
          <w:p w14:paraId="58872FDE">
            <w:pPr>
              <w:numPr>
                <w:ilvl w:val="0"/>
                <w:numId w:val="2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Ansi="宋体"/>
                <w:b/>
                <w:bCs/>
                <w:sz w:val="24"/>
                <w:szCs w:val="24"/>
              </w:rPr>
              <w:t>有序终止研究的程序</w:t>
            </w:r>
          </w:p>
          <w:p w14:paraId="20F7198D">
            <w:pPr>
              <w:numPr>
                <w:ilvl w:val="-1"/>
                <w:numId w:val="0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Ansi="宋体"/>
                <w:sz w:val="24"/>
                <w:szCs w:val="24"/>
              </w:rPr>
              <w:t>是否通知在研的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，研究已经提前终止：</w:t>
            </w:r>
            <w:r>
              <w:rPr>
                <w:rFonts w:ascii="宋体" w:hAnsi="宋体"/>
                <w:sz w:val="24"/>
                <w:szCs w:val="24"/>
              </w:rPr>
              <w:t xml:space="preserve">□是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/>
                <w:sz w:val="24"/>
                <w:szCs w:val="24"/>
              </w:rPr>
              <w:t>否→请另页说明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不适用  </w:t>
            </w:r>
          </w:p>
          <w:p w14:paraId="6EA0A097">
            <w:pPr>
              <w:numPr>
                <w:ilvl w:val="-1"/>
                <w:numId w:val="0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Ansi="宋体"/>
                <w:sz w:val="24"/>
                <w:szCs w:val="24"/>
              </w:rPr>
              <w:t>是否通知已完成研究的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，研究已经提前终止：</w:t>
            </w:r>
          </w:p>
          <w:p w14:paraId="20679AE0">
            <w:pPr>
              <w:numPr>
                <w:ilvl w:val="0"/>
                <w:numId w:val="0"/>
              </w:numPr>
              <w:spacing w:line="240" w:lineRule="auto"/>
              <w:ind w:leftChars="0" w:firstLine="5280" w:firstLineChars="2200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□是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□否→请另页说明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不适用</w:t>
            </w:r>
          </w:p>
          <w:p w14:paraId="5F97B1B3">
            <w:pPr>
              <w:numPr>
                <w:ilvl w:val="-1"/>
                <w:numId w:val="0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hAnsi="宋体"/>
                <w:sz w:val="24"/>
                <w:szCs w:val="24"/>
              </w:rPr>
              <w:t>是否要求召回已完成研究的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进行随访</w:t>
            </w:r>
            <w:r>
              <w:rPr>
                <w:rFonts w:ascii="宋体" w:hAnsi="宋体"/>
                <w:sz w:val="24"/>
                <w:szCs w:val="24"/>
              </w:rPr>
              <w:t>：□是     □否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不适用     </w:t>
            </w:r>
          </w:p>
          <w:p w14:paraId="0E865EA0">
            <w:pPr>
              <w:numPr>
                <w:ilvl w:val="-1"/>
                <w:numId w:val="0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Ansi="宋体"/>
                <w:sz w:val="24"/>
                <w:szCs w:val="24"/>
              </w:rPr>
              <w:t>提前终止研究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的后续医疗与随访安排：</w:t>
            </w:r>
          </w:p>
          <w:p w14:paraId="734626DA">
            <w:pPr>
              <w:numPr>
                <w:ilvl w:val="-1"/>
                <w:numId w:val="0"/>
              </w:numPr>
              <w:spacing w:line="240" w:lineRule="auto"/>
              <w:ind w:left="0" w:firstLine="480" w:firstLineChars="20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□转入常规医疗  □有针对性的安排随访检测与后续治疗→请另页说明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不适用</w:t>
            </w:r>
          </w:p>
          <w:p w14:paraId="7B0F6186">
            <w:pPr>
              <w:numPr>
                <w:ilvl w:val="-1"/>
                <w:numId w:val="0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5、继续完成研究干预的试验参与者是否要重新获取知情同意：</w:t>
            </w:r>
          </w:p>
          <w:p w14:paraId="259F5503">
            <w:pPr>
              <w:numPr>
                <w:ilvl w:val="-1"/>
                <w:numId w:val="0"/>
              </w:numPr>
              <w:spacing w:line="240" w:lineRule="auto"/>
              <w:ind w:left="0" w:firstLine="480" w:firstLineChars="200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□是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/>
                <w:sz w:val="24"/>
                <w:szCs w:val="24"/>
              </w:rPr>
              <w:t xml:space="preserve"> □否→请另页说明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不适用</w:t>
            </w:r>
          </w:p>
        </w:tc>
      </w:tr>
      <w:tr w14:paraId="597A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539" w:type="dxa"/>
            <w:gridSpan w:val="2"/>
            <w:noWrap w:val="0"/>
            <w:vAlign w:val="center"/>
          </w:tcPr>
          <w:p w14:paraId="72E550D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研究者</w:t>
            </w: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签</w:t>
            </w:r>
            <w:r>
              <w:rPr>
                <w:rFonts w:hint="eastAsia" w:hAnsi="宋体"/>
                <w:color w:val="000000"/>
                <w:spacing w:val="20"/>
                <w:sz w:val="24"/>
                <w:szCs w:val="24"/>
                <w:lang w:val="en-US" w:eastAsia="zh-CN"/>
              </w:rPr>
              <w:t>字</w:t>
            </w:r>
          </w:p>
        </w:tc>
        <w:tc>
          <w:tcPr>
            <w:tcW w:w="2539" w:type="dxa"/>
            <w:noWrap w:val="0"/>
            <w:vAlign w:val="center"/>
          </w:tcPr>
          <w:p w14:paraId="426D17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  <w:gridSpan w:val="2"/>
            <w:noWrap w:val="0"/>
            <w:vAlign w:val="center"/>
          </w:tcPr>
          <w:p w14:paraId="1DCFF230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2542" w:type="dxa"/>
            <w:gridSpan w:val="2"/>
            <w:noWrap w:val="0"/>
            <w:vAlign w:val="center"/>
          </w:tcPr>
          <w:p w14:paraId="49FC004D">
            <w:pPr>
              <w:rPr>
                <w:sz w:val="24"/>
                <w:szCs w:val="24"/>
              </w:rPr>
            </w:pPr>
          </w:p>
        </w:tc>
      </w:tr>
    </w:tbl>
    <w:p w14:paraId="41105BDC"/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DC5E4">
    <w:pPr>
      <w:pStyle w:val="6"/>
      <w:rPr>
        <w:rFonts w:hint="default" w:eastAsia="宋体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2729865</wp:posOffset>
              </wp:positionH>
              <wp:positionV relativeFrom="paragraph">
                <wp:posOffset>15875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FA4F369">
                          <w:pPr>
                            <w:pStyle w:val="6"/>
                          </w:pPr>
                          <w:r>
                            <w:rPr>
                              <w:rFonts w:hint="eastAsia" w:eastAsia="楷体_GB2312"/>
                            </w:rPr>
                            <w:t xml:space="preserve">                                    </w:t>
                          </w:r>
                          <w:r>
                            <w:rPr>
                              <w:rFonts w:hAnsi="宋体"/>
                            </w:rP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Ansi="宋体"/>
                            </w:rPr>
                            <w:t>页</w:t>
                          </w:r>
                          <w:r>
                            <w:t xml:space="preserve"> </w:t>
                          </w:r>
                          <w:r>
                            <w:rPr>
                              <w:rFonts w:hAnsi="宋体"/>
                            </w:rPr>
                            <w:t>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Ansi="宋体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4.95pt;margin-top:1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eoZF82AAAAAkBAAAPAAAAAAAAAAEAIAAAACIA&#10;AABkcnMvZG93bnJldi54bWxQSwECFAAUAAAACACHTuJAYHJxPNABAACjAwAADgAAAAAAAAABACAA&#10;AAAnAQAAZHJzL2Uyb0RvYy54bWxQSwUGAAAAAAYABgBZAQAAa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FA4F369">
                    <w:pPr>
                      <w:pStyle w:val="6"/>
                    </w:pPr>
                    <w:r>
                      <w:rPr>
                        <w:rFonts w:hint="eastAsia" w:eastAsia="楷体_GB2312"/>
                      </w:rPr>
                      <w:t xml:space="preserve">                                    </w:t>
                    </w:r>
                    <w:r>
                      <w:rPr>
                        <w:rFonts w:hAnsi="宋体"/>
                      </w:rP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hAnsi="宋体"/>
                      </w:rPr>
                      <w:t>页</w:t>
                    </w:r>
                    <w:r>
                      <w:t xml:space="preserve"> </w:t>
                    </w:r>
                    <w:r>
                      <w:rPr>
                        <w:rFonts w:hAnsi="宋体"/>
                      </w:rPr>
                      <w:t>共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rPr>
                        <w:rFonts w:hAnsi="宋体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t>/</w:t>
    </w:r>
    <w:r>
      <w:rPr>
        <w:rFonts w:hint="eastAsia"/>
      </w:rPr>
      <w:t>20</w:t>
    </w:r>
    <w:r>
      <w:rPr>
        <w:rFonts w:hint="eastAsia"/>
        <w:lang w:val="en-US" w:eastAsia="zh-CN"/>
      </w:rPr>
      <w:t>26-07-30</w:t>
    </w:r>
  </w:p>
  <w:p w14:paraId="65D26CD8">
    <w:pPr>
      <w:pStyle w:val="6"/>
    </w:pPr>
    <w:r>
      <w:t xml:space="preserve">SOPs Link: </w:t>
    </w:r>
    <w:r>
      <w:rPr>
        <w:rFonts w:hint="eastAsia"/>
      </w:rPr>
      <w:t>WZPH</w:t>
    </w:r>
    <w:r>
      <w:t>EC-C-013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73BB8">
    <w:pPr>
      <w:pStyle w:val="7"/>
      <w:ind w:left="210" w:hanging="210" w:hangingChars="100"/>
      <w:rPr>
        <w:rFonts w:hint="eastAsia"/>
        <w:sz w:val="21"/>
        <w:szCs w:val="21"/>
      </w:rPr>
    </w:pPr>
    <w:r>
      <w:rPr>
        <w:rFonts w:hint="eastAsia"/>
        <w:sz w:val="21"/>
        <w:szCs w:val="21"/>
      </w:rPr>
      <w:t xml:space="preserve">WZPHEC-C-F26                                        </w:t>
    </w:r>
    <w:r>
      <w:rPr>
        <w:rFonts w:hint="eastAsia"/>
        <w:sz w:val="21"/>
        <w:szCs w:val="21"/>
        <w:lang w:val="en-US" w:eastAsia="zh-CN"/>
      </w:rPr>
      <w:t xml:space="preserve">    </w:t>
    </w:r>
    <w:r>
      <w:rPr>
        <w:rFonts w:hint="eastAsia"/>
        <w:sz w:val="21"/>
        <w:szCs w:val="21"/>
      </w:rPr>
      <w:t xml:space="preserve">              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FCF931"/>
    <w:multiLevelType w:val="singleLevel"/>
    <w:tmpl w:val="41FCF93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2F8383E"/>
    <w:multiLevelType w:val="singleLevel"/>
    <w:tmpl w:val="52F8383E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0018642C"/>
    <w:rsid w:val="002438DB"/>
    <w:rsid w:val="00297923"/>
    <w:rsid w:val="002A310C"/>
    <w:rsid w:val="003410EE"/>
    <w:rsid w:val="0045685E"/>
    <w:rsid w:val="005F71AB"/>
    <w:rsid w:val="006E228F"/>
    <w:rsid w:val="00713B3D"/>
    <w:rsid w:val="00782CB1"/>
    <w:rsid w:val="007A6A6F"/>
    <w:rsid w:val="00844324"/>
    <w:rsid w:val="008E0B98"/>
    <w:rsid w:val="00930F8D"/>
    <w:rsid w:val="00B22FF1"/>
    <w:rsid w:val="00BB4A3F"/>
    <w:rsid w:val="00CC2117"/>
    <w:rsid w:val="00E02E0B"/>
    <w:rsid w:val="00E03945"/>
    <w:rsid w:val="00E20A3D"/>
    <w:rsid w:val="00ED69B0"/>
    <w:rsid w:val="00EE3BAC"/>
    <w:rsid w:val="0F954BDC"/>
    <w:rsid w:val="18E56464"/>
    <w:rsid w:val="1B1747F3"/>
    <w:rsid w:val="26920A28"/>
    <w:rsid w:val="271D7364"/>
    <w:rsid w:val="2789241B"/>
    <w:rsid w:val="2B7F106A"/>
    <w:rsid w:val="316A5E35"/>
    <w:rsid w:val="31B86A83"/>
    <w:rsid w:val="3B1E7A8D"/>
    <w:rsid w:val="3E691381"/>
    <w:rsid w:val="4AE838B4"/>
    <w:rsid w:val="4D25607D"/>
    <w:rsid w:val="52286CAF"/>
    <w:rsid w:val="53451B0D"/>
    <w:rsid w:val="54CA13DC"/>
    <w:rsid w:val="5AE044E9"/>
    <w:rsid w:val="617E00F9"/>
    <w:rsid w:val="649942E8"/>
    <w:rsid w:val="65FC1299"/>
    <w:rsid w:val="6B650A5E"/>
    <w:rsid w:val="710245F7"/>
    <w:rsid w:val="76143B0F"/>
    <w:rsid w:val="7E444D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2"/>
    <w:next w:val="1"/>
    <w:link w:val="11"/>
    <w:qFormat/>
    <w:uiPriority w:val="0"/>
    <w:pPr>
      <w:spacing w:line="413" w:lineRule="auto"/>
      <w:jc w:val="center"/>
      <w:outlineLvl w:val="2"/>
    </w:pPr>
    <w:rPr>
      <w:rFonts w:ascii="Times New Roman" w:hAnsi="Times New Roman"/>
      <w:bCs w:val="0"/>
      <w:kern w:val="0"/>
      <w:sz w:val="24"/>
      <w:szCs w:val="20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2"/>
    <w:unhideWhenUsed/>
    <w:qFormat/>
    <w:uiPriority w:val="99"/>
    <w:rPr>
      <w:rFonts w:ascii="宋体"/>
      <w:sz w:val="18"/>
      <w:szCs w:val="18"/>
    </w:rPr>
  </w:style>
  <w:style w:type="paragraph" w:styleId="5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3 Char"/>
    <w:link w:val="3"/>
    <w:qFormat/>
    <w:uiPriority w:val="0"/>
    <w:rPr>
      <w:b/>
      <w:sz w:val="24"/>
    </w:rPr>
  </w:style>
  <w:style w:type="character" w:customStyle="1" w:styleId="12">
    <w:name w:val="文档结构图 Char"/>
    <w:link w:val="4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3">
    <w:name w:val="标题 2 Char"/>
    <w:link w:val="2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4">
    <w:name w:val="批注框文本 Char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548</Words>
  <Characters>550</Characters>
  <Lines>2</Lines>
  <Paragraphs>1</Paragraphs>
  <TotalTime>1</TotalTime>
  <ScaleCrop>false</ScaleCrop>
  <LinksUpToDate>false</LinksUpToDate>
  <CharactersWithSpaces>659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蕊桢</cp:lastModifiedBy>
  <dcterms:modified xsi:type="dcterms:W3CDTF">2026-08-28T07:25:47Z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05E3C8A4BC804FFC9D65A9CA5B577C5E_13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